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F62DB" w14:textId="77777777" w:rsidR="00820612" w:rsidRPr="00830AD0" w:rsidRDefault="00820612" w:rsidP="00830AD0">
      <w:pPr>
        <w:spacing w:line="276" w:lineRule="auto"/>
        <w:jc w:val="right"/>
        <w:rPr>
          <w:b/>
          <w:bCs/>
          <w:u w:val="single"/>
        </w:rPr>
      </w:pPr>
      <w:r w:rsidRPr="00830AD0">
        <w:rPr>
          <w:b/>
          <w:bCs/>
          <w:u w:val="single"/>
        </w:rPr>
        <w:t xml:space="preserve">Załącznik nr </w:t>
      </w:r>
      <w:r w:rsidR="00A562C2" w:rsidRPr="00830AD0">
        <w:rPr>
          <w:b/>
          <w:bCs/>
          <w:u w:val="single"/>
        </w:rPr>
        <w:t>5C</w:t>
      </w:r>
      <w:r w:rsidR="00830AD0">
        <w:rPr>
          <w:b/>
          <w:bCs/>
          <w:u w:val="single"/>
        </w:rPr>
        <w:t xml:space="preserve"> do SWZ</w:t>
      </w:r>
    </w:p>
    <w:p w14:paraId="64306218" w14:textId="77777777" w:rsidR="00820612" w:rsidRPr="00D2577A" w:rsidRDefault="00820612" w:rsidP="00820612">
      <w:pPr>
        <w:spacing w:line="276" w:lineRule="auto"/>
        <w:jc w:val="center"/>
      </w:pPr>
    </w:p>
    <w:p w14:paraId="2F301A59" w14:textId="77777777" w:rsidR="00820612" w:rsidRPr="00D2577A" w:rsidRDefault="00820612" w:rsidP="00820612">
      <w:pPr>
        <w:spacing w:line="276" w:lineRule="auto"/>
        <w:jc w:val="center"/>
        <w:rPr>
          <w:b/>
        </w:rPr>
      </w:pPr>
      <w:r w:rsidRPr="00D2577A">
        <w:rPr>
          <w:b/>
        </w:rPr>
        <w:t>OPIS PRZEDMIOTU ZAMÓWIENIA</w:t>
      </w:r>
    </w:p>
    <w:p w14:paraId="636F83D3" w14:textId="77777777" w:rsidR="00820612" w:rsidRPr="00D2577A" w:rsidRDefault="00820612" w:rsidP="00820612">
      <w:pPr>
        <w:spacing w:line="276" w:lineRule="auto"/>
        <w:jc w:val="center"/>
      </w:pPr>
      <w:r w:rsidRPr="00D2577A">
        <w:rPr>
          <w:b/>
        </w:rPr>
        <w:t>WARUNKI MINIMALNE, JAKIE MUSZĄ SPEŁNIAĆ OFERTY</w:t>
      </w:r>
    </w:p>
    <w:p w14:paraId="48211808" w14:textId="4085CE29" w:rsidR="00820612" w:rsidRPr="00D2577A" w:rsidRDefault="00EC02CA" w:rsidP="00EC02CA">
      <w:pPr>
        <w:tabs>
          <w:tab w:val="left" w:pos="5640"/>
        </w:tabs>
        <w:spacing w:line="276" w:lineRule="auto"/>
        <w:jc w:val="both"/>
      </w:pPr>
      <w:r>
        <w:tab/>
      </w:r>
      <w:bookmarkStart w:id="0" w:name="_GoBack"/>
      <w:bookmarkEnd w:id="0"/>
    </w:p>
    <w:p w14:paraId="38A3D7B4" w14:textId="6D79E208" w:rsidR="00820612" w:rsidRPr="00D2577A" w:rsidRDefault="00820612" w:rsidP="00820612">
      <w:pPr>
        <w:spacing w:line="276" w:lineRule="auto"/>
        <w:jc w:val="both"/>
      </w:pPr>
      <w:r w:rsidRPr="00D2577A">
        <w:t>Na potrzeby niniejszego dokumentu przez ubezpieczającego rozumi</w:t>
      </w:r>
      <w:r>
        <w:t xml:space="preserve">eć się będzie </w:t>
      </w:r>
      <w:r w:rsidR="00830AD0">
        <w:t>Z</w:t>
      </w:r>
      <w:r>
        <w:t>amawiającego, natomiast</w:t>
      </w:r>
      <w:r w:rsidRPr="00D2577A">
        <w:t xml:space="preserve"> przez ubezpieczyciela – wykonawcę.</w:t>
      </w:r>
    </w:p>
    <w:p w14:paraId="0096E458" w14:textId="77777777" w:rsidR="00840555" w:rsidRPr="00101E89" w:rsidRDefault="00840555" w:rsidP="00840555">
      <w:pPr>
        <w:spacing w:line="276" w:lineRule="auto"/>
        <w:jc w:val="both"/>
        <w:rPr>
          <w:b/>
          <w:sz w:val="28"/>
          <w:szCs w:val="28"/>
        </w:rPr>
      </w:pPr>
      <w:r w:rsidRPr="00101E89">
        <w:rPr>
          <w:b/>
          <w:sz w:val="28"/>
          <w:szCs w:val="28"/>
        </w:rPr>
        <w:t>Zadanie III</w:t>
      </w:r>
    </w:p>
    <w:p w14:paraId="37C2B02D" w14:textId="77777777" w:rsidR="00840555" w:rsidRPr="00101E89" w:rsidRDefault="00840555" w:rsidP="00840555">
      <w:pPr>
        <w:pStyle w:val="Akapitzlist"/>
        <w:numPr>
          <w:ilvl w:val="0"/>
          <w:numId w:val="6"/>
        </w:numPr>
        <w:spacing w:after="160" w:line="276" w:lineRule="auto"/>
        <w:jc w:val="both"/>
        <w:rPr>
          <w:b/>
          <w:sz w:val="28"/>
          <w:szCs w:val="28"/>
        </w:rPr>
      </w:pPr>
      <w:proofErr w:type="spellStart"/>
      <w:r w:rsidRPr="00101E89">
        <w:rPr>
          <w:b/>
          <w:sz w:val="28"/>
          <w:szCs w:val="28"/>
        </w:rPr>
        <w:t>Ubezpieczenie</w:t>
      </w:r>
      <w:proofErr w:type="spellEnd"/>
      <w:r w:rsidRPr="00101E89">
        <w:rPr>
          <w:b/>
          <w:sz w:val="28"/>
          <w:szCs w:val="28"/>
        </w:rPr>
        <w:t xml:space="preserve"> </w:t>
      </w:r>
      <w:proofErr w:type="spellStart"/>
      <w:r w:rsidRPr="00101E89">
        <w:rPr>
          <w:b/>
          <w:sz w:val="28"/>
          <w:szCs w:val="28"/>
        </w:rPr>
        <w:t>mienia</w:t>
      </w:r>
      <w:proofErr w:type="spellEnd"/>
      <w:r w:rsidRPr="00101E89">
        <w:rPr>
          <w:b/>
          <w:sz w:val="28"/>
          <w:szCs w:val="28"/>
        </w:rPr>
        <w:t xml:space="preserve"> </w:t>
      </w:r>
      <w:proofErr w:type="spellStart"/>
      <w:r w:rsidRPr="00101E89">
        <w:rPr>
          <w:b/>
          <w:sz w:val="28"/>
          <w:szCs w:val="28"/>
        </w:rPr>
        <w:t>od</w:t>
      </w:r>
      <w:proofErr w:type="spellEnd"/>
      <w:r w:rsidRPr="00101E89">
        <w:rPr>
          <w:b/>
          <w:sz w:val="28"/>
          <w:szCs w:val="28"/>
        </w:rPr>
        <w:t xml:space="preserve"> </w:t>
      </w:r>
      <w:proofErr w:type="spellStart"/>
      <w:r w:rsidRPr="00101E89">
        <w:rPr>
          <w:b/>
          <w:sz w:val="28"/>
          <w:szCs w:val="28"/>
        </w:rPr>
        <w:t>wszystkich</w:t>
      </w:r>
      <w:proofErr w:type="spellEnd"/>
      <w:r w:rsidRPr="00101E89">
        <w:rPr>
          <w:b/>
          <w:sz w:val="28"/>
          <w:szCs w:val="28"/>
        </w:rPr>
        <w:t xml:space="preserve"> </w:t>
      </w:r>
      <w:proofErr w:type="spellStart"/>
      <w:r w:rsidRPr="00101E89">
        <w:rPr>
          <w:b/>
          <w:sz w:val="28"/>
          <w:szCs w:val="28"/>
        </w:rPr>
        <w:t>ryzyk</w:t>
      </w:r>
      <w:proofErr w:type="spellEnd"/>
    </w:p>
    <w:p w14:paraId="42ED8EA2" w14:textId="77777777" w:rsidR="00840555" w:rsidRPr="0081083D" w:rsidRDefault="00840555" w:rsidP="00840555">
      <w:pPr>
        <w:pStyle w:val="Akapitzlist"/>
        <w:numPr>
          <w:ilvl w:val="0"/>
          <w:numId w:val="7"/>
        </w:numPr>
        <w:spacing w:after="160" w:line="276" w:lineRule="auto"/>
        <w:jc w:val="both"/>
        <w:rPr>
          <w:rFonts w:cs="Arial"/>
          <w:b/>
        </w:rPr>
      </w:pPr>
      <w:proofErr w:type="spellStart"/>
      <w:r w:rsidRPr="0081083D">
        <w:rPr>
          <w:rFonts w:cs="Arial"/>
          <w:b/>
        </w:rPr>
        <w:t>Wnioskowany</w:t>
      </w:r>
      <w:proofErr w:type="spellEnd"/>
      <w:r w:rsidRPr="0081083D">
        <w:rPr>
          <w:rFonts w:cs="Arial"/>
          <w:b/>
        </w:rPr>
        <w:t xml:space="preserve"> </w:t>
      </w:r>
      <w:proofErr w:type="spellStart"/>
      <w:r w:rsidRPr="0081083D">
        <w:rPr>
          <w:rFonts w:cs="Arial"/>
          <w:b/>
        </w:rPr>
        <w:t>zakres</w:t>
      </w:r>
      <w:proofErr w:type="spellEnd"/>
      <w:r w:rsidRPr="0081083D">
        <w:rPr>
          <w:rFonts w:cs="Arial"/>
          <w:b/>
        </w:rPr>
        <w:t xml:space="preserve"> </w:t>
      </w:r>
      <w:proofErr w:type="spellStart"/>
      <w:r w:rsidRPr="0081083D">
        <w:rPr>
          <w:rFonts w:cs="Arial"/>
          <w:b/>
        </w:rPr>
        <w:t>ubezpieczenia</w:t>
      </w:r>
      <w:proofErr w:type="spellEnd"/>
    </w:p>
    <w:p w14:paraId="2E85AB74" w14:textId="25FB55F6" w:rsidR="00840555" w:rsidRPr="0081083D" w:rsidRDefault="00840555" w:rsidP="00840555">
      <w:pPr>
        <w:spacing w:line="276" w:lineRule="auto"/>
        <w:jc w:val="both"/>
        <w:rPr>
          <w:rFonts w:cs="Arial"/>
        </w:rPr>
      </w:pPr>
      <w:r w:rsidRPr="0081083D">
        <w:rPr>
          <w:rFonts w:cs="Arial"/>
        </w:rPr>
        <w:t xml:space="preserve">Ochroną ubezpieczeniową objęte są wszystkie szkody w ubezpieczonym mieniu, powstałe w okresie </w:t>
      </w:r>
      <w:r>
        <w:rPr>
          <w:rFonts w:cs="Arial"/>
        </w:rPr>
        <w:br/>
      </w:r>
      <w:r w:rsidRPr="0081083D">
        <w:rPr>
          <w:rFonts w:cs="Arial"/>
        </w:rPr>
        <w:t>i miejscu ubezpieczenia w wyniku wystąpienia zdarzeń losowych. Ochrona ubezpi</w:t>
      </w:r>
      <w:r>
        <w:rPr>
          <w:rFonts w:cs="Arial"/>
        </w:rPr>
        <w:t xml:space="preserve">eczeniowa nie może zawierać </w:t>
      </w:r>
      <w:proofErr w:type="spellStart"/>
      <w:r>
        <w:rPr>
          <w:rFonts w:cs="Arial"/>
        </w:rPr>
        <w:t>wyłą</w:t>
      </w:r>
      <w:r w:rsidRPr="0081083D">
        <w:rPr>
          <w:rFonts w:cs="Arial"/>
        </w:rPr>
        <w:t>czeń</w:t>
      </w:r>
      <w:proofErr w:type="spellEnd"/>
      <w:r w:rsidRPr="0081083D">
        <w:rPr>
          <w:rFonts w:cs="Arial"/>
        </w:rPr>
        <w:t xml:space="preserve"> w następującym zakresie </w:t>
      </w:r>
      <w:proofErr w:type="spellStart"/>
      <w:r w:rsidRPr="0081083D">
        <w:rPr>
          <w:rFonts w:cs="Arial"/>
        </w:rPr>
        <w:t>ryzyk</w:t>
      </w:r>
      <w:proofErr w:type="spellEnd"/>
      <w:r w:rsidRPr="0081083D">
        <w:rPr>
          <w:rFonts w:cs="Arial"/>
        </w:rPr>
        <w:t xml:space="preserve">: ogień, uderzenie pioruna, eksplozja (brak wymogu rozdarcia ścian)/implozja, przymusowe lądowanie lub upadek statku powietrznego, jego części, przewożonego nim ładunku lub zrzut paliwa, szkody polegające na zniszczeniu lub uszkodzeniu ubezpieczonego mienia spowodowane uderzeniem pojazdu mechanicznego lub przewożonego nim ładunku, w tym pojazdu lub ładunku należącego lub eksploatowanego przez ubezpieczającego </w:t>
      </w:r>
      <w:r>
        <w:rPr>
          <w:rFonts w:cs="Arial"/>
        </w:rPr>
        <w:br/>
      </w:r>
      <w:r w:rsidRPr="0081083D">
        <w:rPr>
          <w:rFonts w:cs="Arial"/>
        </w:rPr>
        <w:t xml:space="preserve">lub osoby, za które ponosi on odpowiedzialność, huragan, zamieć, powódź, topnienie kry lodowej, tworzenie się zatorów lodowych, przesiąkanie wód gruntowych i opadowych, spływ wód po zboczach, podtopienie, sztorm, podniesienie się poziomu wód przybrzeżnych, tsunami, tajfun, cyklon, tornado, deszcz nawalny, grad, śnieg (w tym szkody w przedmiocie ubezpieczenia na skutek naporu śniegu lub lodu), oblodzenie, mróz (temperatura powietrza poniżej 0°C), szadź, upał, huk ponaddźwiękowy, dym, sadza, szkody polegające na opaleniu, osmaleniu, przypaleniu, wypaleniu, żarzeniu bez widocznego ognia, stopieniu, zwęgleniu, osunięcie i zapadanie się ziemi, trzęsienie ziemi, tąpnięcie, zasypanie, lawina, wybuch wulkanu, zalanie, szkody wodociągowe, guano ptasie, upadek (w tym na skutek naporu śniegu lub lodu) drzew lub ich konarów, masztów, dźwigów, kominów, słupów, wież, anten, budynków, budowli, urządzeń technicznych lub ich elementów, przedmiotów unoszonych przez wiatr, mienia sąsiedniego na ubezpieczone mienie, utrata, zniszczenie lub uszkodzenie ubezpieczonego mienia w wyniku akcji ratowniczej, wyburzania, odgruzowywania lub innej, prowadzonej w związku </w:t>
      </w:r>
      <w:r w:rsidR="00B47D91">
        <w:rPr>
          <w:rFonts w:cs="Arial"/>
        </w:rPr>
        <w:br/>
      </w:r>
      <w:r w:rsidRPr="0081083D">
        <w:rPr>
          <w:rFonts w:cs="Arial"/>
        </w:rPr>
        <w:t>z wystąpieniem zdarzeń losowych objętych zakresem ubezpieczenia, usiłowanie/dokonanie kradzieży z włamaniem lub rozboju/rabunku.</w:t>
      </w:r>
    </w:p>
    <w:p w14:paraId="590F495F" w14:textId="77777777" w:rsidR="00840555" w:rsidRPr="0081083D" w:rsidRDefault="00840555" w:rsidP="00840555">
      <w:pPr>
        <w:spacing w:line="276" w:lineRule="auto"/>
        <w:jc w:val="both"/>
        <w:rPr>
          <w:rFonts w:cs="Arial"/>
        </w:rPr>
      </w:pPr>
    </w:p>
    <w:p w14:paraId="3A7E9F3F" w14:textId="77777777" w:rsidR="00840555" w:rsidRPr="0081083D" w:rsidRDefault="00840555" w:rsidP="00840555">
      <w:pPr>
        <w:pStyle w:val="Akapitzlist"/>
        <w:numPr>
          <w:ilvl w:val="0"/>
          <w:numId w:val="7"/>
        </w:numPr>
        <w:spacing w:after="160" w:line="276" w:lineRule="auto"/>
        <w:jc w:val="both"/>
        <w:rPr>
          <w:rFonts w:cs="Arial"/>
          <w:b/>
        </w:rPr>
      </w:pPr>
      <w:r w:rsidRPr="0081083D">
        <w:rPr>
          <w:rFonts w:cs="Arial"/>
          <w:b/>
        </w:rPr>
        <w:t xml:space="preserve">System </w:t>
      </w:r>
      <w:proofErr w:type="spellStart"/>
      <w:r w:rsidRPr="0081083D">
        <w:rPr>
          <w:rFonts w:cs="Arial"/>
          <w:b/>
        </w:rPr>
        <w:t>ubezpieczenia</w:t>
      </w:r>
      <w:proofErr w:type="spellEnd"/>
    </w:p>
    <w:p w14:paraId="26B016A5" w14:textId="77777777" w:rsidR="00840555" w:rsidRPr="00C71777" w:rsidRDefault="00840555" w:rsidP="00840555">
      <w:pPr>
        <w:spacing w:line="240" w:lineRule="auto"/>
        <w:jc w:val="both"/>
        <w:rPr>
          <w:rFonts w:cs="Arial"/>
        </w:rPr>
      </w:pPr>
      <w:r w:rsidRPr="00C71777">
        <w:rPr>
          <w:rFonts w:cs="Arial"/>
        </w:rPr>
        <w:t>Budynki wraz ze wszelkimi instalacjami wewnętrznymi (w tym windy), zewnętrznymi, przyłączami i budowle – sumy stałe</w:t>
      </w:r>
    </w:p>
    <w:p w14:paraId="4C617ADA" w14:textId="77777777" w:rsidR="00840555" w:rsidRPr="00C71777" w:rsidRDefault="00840555" w:rsidP="00840555">
      <w:pPr>
        <w:spacing w:line="240" w:lineRule="auto"/>
        <w:jc w:val="both"/>
        <w:rPr>
          <w:rFonts w:cs="Arial"/>
        </w:rPr>
      </w:pPr>
      <w:r w:rsidRPr="00C71777">
        <w:rPr>
          <w:rFonts w:cs="Arial"/>
        </w:rPr>
        <w:t>Środki trwałe (w tym sprzęt elektroniczny medyczny i niemedyczny, maszyny, aparaty i urządzenia, mienie będące przedmiotem leasingu) – sumy stałe</w:t>
      </w:r>
    </w:p>
    <w:p w14:paraId="52B2DEE7" w14:textId="77777777" w:rsidR="00840555" w:rsidRPr="00C71777" w:rsidRDefault="00840555" w:rsidP="00840555">
      <w:pPr>
        <w:spacing w:line="240" w:lineRule="auto"/>
        <w:jc w:val="both"/>
        <w:rPr>
          <w:rFonts w:cs="Arial"/>
        </w:rPr>
      </w:pPr>
      <w:r w:rsidRPr="00C71777">
        <w:rPr>
          <w:rFonts w:cs="Arial"/>
        </w:rPr>
        <w:lastRenderedPageBreak/>
        <w:t>Wyposażenie karetek – sumy stałe</w:t>
      </w:r>
    </w:p>
    <w:p w14:paraId="331E185D" w14:textId="77777777" w:rsidR="00840555" w:rsidRPr="00C71777" w:rsidRDefault="00840555" w:rsidP="00840555">
      <w:pPr>
        <w:spacing w:line="240" w:lineRule="auto"/>
        <w:jc w:val="both"/>
        <w:rPr>
          <w:rFonts w:cs="Arial"/>
        </w:rPr>
      </w:pPr>
      <w:r w:rsidRPr="00C71777">
        <w:rPr>
          <w:rFonts w:cs="Arial"/>
        </w:rPr>
        <w:t>Środki obrotowe – pierwsze ryzyko</w:t>
      </w:r>
    </w:p>
    <w:p w14:paraId="24997676" w14:textId="77777777" w:rsidR="00840555" w:rsidRPr="00C71777" w:rsidRDefault="00840555" w:rsidP="00840555">
      <w:pPr>
        <w:spacing w:line="240" w:lineRule="auto"/>
        <w:jc w:val="both"/>
        <w:rPr>
          <w:rFonts w:cs="Arial"/>
        </w:rPr>
      </w:pPr>
      <w:proofErr w:type="spellStart"/>
      <w:r w:rsidRPr="00C71777">
        <w:rPr>
          <w:rFonts w:cs="Arial"/>
        </w:rPr>
        <w:t>Niskocenne</w:t>
      </w:r>
      <w:proofErr w:type="spellEnd"/>
      <w:r w:rsidRPr="00C71777">
        <w:rPr>
          <w:rFonts w:cs="Arial"/>
        </w:rPr>
        <w:t xml:space="preserve"> składniki majątku poza ewidencją środków trwałych – pierwsze ryzyko</w:t>
      </w:r>
    </w:p>
    <w:p w14:paraId="2E625C11" w14:textId="77777777" w:rsidR="00840555" w:rsidRPr="00C71777" w:rsidRDefault="00840555" w:rsidP="00840555">
      <w:pPr>
        <w:spacing w:line="240" w:lineRule="auto"/>
        <w:jc w:val="both"/>
        <w:rPr>
          <w:rFonts w:cs="Arial"/>
        </w:rPr>
      </w:pPr>
      <w:r w:rsidRPr="00C71777">
        <w:rPr>
          <w:rFonts w:cs="Arial"/>
        </w:rPr>
        <w:t>Szyby i inne przedmioty szklane od stłuczenia – pierwsze ryzyko</w:t>
      </w:r>
    </w:p>
    <w:p w14:paraId="0E72D1CB" w14:textId="77777777" w:rsidR="00840555" w:rsidRPr="00C71777" w:rsidRDefault="00840555" w:rsidP="00840555">
      <w:pPr>
        <w:spacing w:line="240" w:lineRule="auto"/>
        <w:jc w:val="both"/>
        <w:rPr>
          <w:rFonts w:cs="Arial"/>
        </w:rPr>
      </w:pPr>
      <w:r w:rsidRPr="00C71777">
        <w:rPr>
          <w:rFonts w:cs="Arial"/>
        </w:rPr>
        <w:t>Mienie pracownicze – pierwsze ryzyko</w:t>
      </w:r>
    </w:p>
    <w:p w14:paraId="65E71583" w14:textId="77777777" w:rsidR="00840555" w:rsidRPr="00C71777" w:rsidRDefault="00840555" w:rsidP="00840555">
      <w:pPr>
        <w:spacing w:line="240" w:lineRule="auto"/>
        <w:jc w:val="both"/>
        <w:rPr>
          <w:rFonts w:cs="Arial"/>
        </w:rPr>
      </w:pPr>
      <w:r w:rsidRPr="00C71777">
        <w:rPr>
          <w:rFonts w:cs="Arial"/>
        </w:rPr>
        <w:t>Mienie należące do pacjentów - pierwsze ryzyko</w:t>
      </w:r>
    </w:p>
    <w:p w14:paraId="6D312857" w14:textId="77777777" w:rsidR="00840555" w:rsidRDefault="00840555" w:rsidP="00840555">
      <w:pPr>
        <w:spacing w:line="240" w:lineRule="auto"/>
        <w:jc w:val="both"/>
        <w:rPr>
          <w:rFonts w:cs="Arial"/>
        </w:rPr>
      </w:pPr>
      <w:r w:rsidRPr="00C71777">
        <w:rPr>
          <w:rFonts w:cs="Arial"/>
        </w:rPr>
        <w:t>Wartości pieniężne – na pierwsze ryzyko</w:t>
      </w:r>
    </w:p>
    <w:p w14:paraId="11E58513" w14:textId="77777777" w:rsidR="00840555" w:rsidRPr="00C71777" w:rsidRDefault="00840555" w:rsidP="00840555">
      <w:pPr>
        <w:spacing w:line="240" w:lineRule="auto"/>
        <w:jc w:val="both"/>
        <w:rPr>
          <w:rFonts w:cs="Arial"/>
        </w:rPr>
      </w:pPr>
      <w:r w:rsidRPr="00C71777">
        <w:rPr>
          <w:rFonts w:cs="Arial"/>
        </w:rPr>
        <w:t>Koszty odtworzenia danych/systemu informatycznego – pierwsze ryzyko</w:t>
      </w:r>
    </w:p>
    <w:p w14:paraId="2D2ED9EF" w14:textId="77777777" w:rsidR="00840555" w:rsidRPr="00C71777" w:rsidRDefault="00840555" w:rsidP="00840555">
      <w:pPr>
        <w:spacing w:line="240" w:lineRule="auto"/>
        <w:jc w:val="both"/>
        <w:rPr>
          <w:rFonts w:cs="Arial"/>
        </w:rPr>
      </w:pPr>
      <w:r w:rsidRPr="00C71777">
        <w:rPr>
          <w:rFonts w:eastAsia="Humanist521PL-Roman"/>
        </w:rPr>
        <w:t>Dodatkowe koszty nieproporcjonalne – pierwsze ryzyko</w:t>
      </w:r>
    </w:p>
    <w:p w14:paraId="796B69DB" w14:textId="77777777" w:rsidR="00840555" w:rsidRPr="00C71777" w:rsidRDefault="00840555" w:rsidP="00840555">
      <w:pPr>
        <w:spacing w:line="240" w:lineRule="auto"/>
        <w:jc w:val="both"/>
        <w:rPr>
          <w:rFonts w:cs="Arial"/>
        </w:rPr>
      </w:pPr>
      <w:r w:rsidRPr="00C71777">
        <w:rPr>
          <w:rFonts w:cs="Arial"/>
        </w:rPr>
        <w:t>Agregaty i generatory – pierwsze ryzyko</w:t>
      </w:r>
    </w:p>
    <w:p w14:paraId="28C8F411" w14:textId="77777777" w:rsidR="00840555" w:rsidRPr="00C71777" w:rsidRDefault="00840555" w:rsidP="00840555">
      <w:pPr>
        <w:spacing w:line="240" w:lineRule="auto"/>
        <w:jc w:val="both"/>
        <w:rPr>
          <w:rFonts w:cs="Arial"/>
        </w:rPr>
      </w:pPr>
      <w:r w:rsidRPr="00C71777">
        <w:rPr>
          <w:rFonts w:cs="Arial"/>
        </w:rPr>
        <w:t>Maszyny i urządzenia, sprzęt elektroniczny medyczny i niemedyczny od awarii (MB) – pierwsze ryzyko</w:t>
      </w:r>
    </w:p>
    <w:p w14:paraId="4047ED3E" w14:textId="77777777" w:rsidR="00840555" w:rsidRDefault="00840555" w:rsidP="00840555">
      <w:pPr>
        <w:spacing w:after="0" w:line="276" w:lineRule="auto"/>
        <w:jc w:val="both"/>
        <w:rPr>
          <w:rFonts w:cs="Arial"/>
        </w:rPr>
      </w:pPr>
    </w:p>
    <w:p w14:paraId="22653ECA" w14:textId="77777777" w:rsidR="00840555" w:rsidRPr="0081083D" w:rsidRDefault="00840555" w:rsidP="00840555">
      <w:pPr>
        <w:spacing w:after="0" w:line="276" w:lineRule="auto"/>
        <w:jc w:val="both"/>
        <w:rPr>
          <w:rFonts w:cs="Arial"/>
        </w:rPr>
      </w:pPr>
    </w:p>
    <w:p w14:paraId="21268801" w14:textId="77777777" w:rsidR="00840555" w:rsidRPr="00840555" w:rsidRDefault="00840555" w:rsidP="00840555">
      <w:pPr>
        <w:pStyle w:val="Akapitzlist"/>
        <w:numPr>
          <w:ilvl w:val="0"/>
          <w:numId w:val="7"/>
        </w:numPr>
        <w:jc w:val="both"/>
        <w:rPr>
          <w:rFonts w:cs="Arial"/>
          <w:b/>
          <w:lang w:val="pl-PL"/>
        </w:rPr>
      </w:pPr>
      <w:r w:rsidRPr="00840555">
        <w:rPr>
          <w:rFonts w:cs="Arial"/>
          <w:b/>
          <w:lang w:val="pl-PL"/>
        </w:rPr>
        <w:t>Przedmiot i suma ubezpieczenia/limity odpowiedzialności/metoda wyceny:</w:t>
      </w:r>
    </w:p>
    <w:p w14:paraId="5E3C3FD0" w14:textId="77777777" w:rsidR="00840555" w:rsidRPr="00840555" w:rsidRDefault="00840555" w:rsidP="00840555">
      <w:pPr>
        <w:pStyle w:val="Akapitzlist"/>
        <w:jc w:val="both"/>
        <w:rPr>
          <w:rFonts w:cs="Arial"/>
          <w:b/>
          <w:lang w:val="pl-PL"/>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778"/>
        <w:gridCol w:w="2371"/>
        <w:gridCol w:w="2085"/>
      </w:tblGrid>
      <w:tr w:rsidR="00840555" w:rsidRPr="00566BD5" w14:paraId="0FD7CA0A" w14:textId="77777777" w:rsidTr="00505376">
        <w:trPr>
          <w:trHeight w:val="334"/>
        </w:trPr>
        <w:tc>
          <w:tcPr>
            <w:tcW w:w="828" w:type="dxa"/>
            <w:shd w:val="clear" w:color="auto" w:fill="auto"/>
            <w:vAlign w:val="center"/>
          </w:tcPr>
          <w:p w14:paraId="48690A45" w14:textId="77777777" w:rsidR="00840555" w:rsidRPr="00566BD5" w:rsidRDefault="00840555" w:rsidP="00505376">
            <w:pPr>
              <w:jc w:val="center"/>
              <w:rPr>
                <w:rFonts w:cs="Arial"/>
                <w:b/>
                <w:lang w:eastAsia="de-DE"/>
              </w:rPr>
            </w:pPr>
            <w:r w:rsidRPr="00566BD5">
              <w:rPr>
                <w:rFonts w:cs="Arial"/>
                <w:b/>
                <w:lang w:eastAsia="de-DE"/>
              </w:rPr>
              <w:t>Lp.</w:t>
            </w:r>
          </w:p>
        </w:tc>
        <w:tc>
          <w:tcPr>
            <w:tcW w:w="3778" w:type="dxa"/>
            <w:shd w:val="clear" w:color="auto" w:fill="auto"/>
            <w:vAlign w:val="center"/>
          </w:tcPr>
          <w:p w14:paraId="00BBCEA4" w14:textId="77777777" w:rsidR="00840555" w:rsidRPr="00566BD5" w:rsidRDefault="00840555" w:rsidP="00505376">
            <w:pPr>
              <w:jc w:val="center"/>
              <w:rPr>
                <w:rFonts w:cs="Arial"/>
                <w:b/>
                <w:lang w:eastAsia="de-DE"/>
              </w:rPr>
            </w:pPr>
            <w:r w:rsidRPr="00566BD5">
              <w:rPr>
                <w:rFonts w:cs="Arial"/>
                <w:b/>
                <w:lang w:eastAsia="de-DE"/>
              </w:rPr>
              <w:t>Nazwa przedmiotu zamówienia</w:t>
            </w:r>
          </w:p>
        </w:tc>
        <w:tc>
          <w:tcPr>
            <w:tcW w:w="2371" w:type="dxa"/>
            <w:vAlign w:val="center"/>
          </w:tcPr>
          <w:p w14:paraId="3FF30753" w14:textId="77777777" w:rsidR="00840555" w:rsidRPr="00566BD5" w:rsidRDefault="00840555" w:rsidP="00505376">
            <w:pPr>
              <w:jc w:val="center"/>
              <w:rPr>
                <w:rFonts w:cs="Arial"/>
                <w:b/>
                <w:lang w:eastAsia="de-DE"/>
              </w:rPr>
            </w:pPr>
            <w:r w:rsidRPr="00566BD5">
              <w:rPr>
                <w:rFonts w:cs="Arial"/>
                <w:b/>
                <w:lang w:eastAsia="de-DE"/>
              </w:rPr>
              <w:t>Suma ubezpieczenia</w:t>
            </w:r>
            <w:r>
              <w:rPr>
                <w:rFonts w:cs="Arial"/>
                <w:b/>
                <w:lang w:eastAsia="de-DE"/>
              </w:rPr>
              <w:t>/ Limity</w:t>
            </w:r>
            <w:r w:rsidRPr="00566BD5">
              <w:rPr>
                <w:rFonts w:cs="Arial"/>
                <w:b/>
                <w:lang w:eastAsia="de-DE"/>
              </w:rPr>
              <w:t xml:space="preserve"> </w:t>
            </w:r>
            <w:r>
              <w:rPr>
                <w:rFonts w:cs="Arial"/>
                <w:b/>
                <w:lang w:eastAsia="de-DE"/>
              </w:rPr>
              <w:t>(</w:t>
            </w:r>
            <w:r w:rsidRPr="00566BD5">
              <w:rPr>
                <w:rFonts w:cs="Arial"/>
                <w:b/>
                <w:lang w:eastAsia="de-DE"/>
              </w:rPr>
              <w:t>w zł</w:t>
            </w:r>
            <w:r>
              <w:rPr>
                <w:rFonts w:cs="Arial"/>
                <w:b/>
                <w:lang w:eastAsia="de-DE"/>
              </w:rPr>
              <w:t>)</w:t>
            </w:r>
          </w:p>
        </w:tc>
        <w:tc>
          <w:tcPr>
            <w:tcW w:w="2085" w:type="dxa"/>
          </w:tcPr>
          <w:p w14:paraId="696CD943" w14:textId="77777777" w:rsidR="00840555" w:rsidRPr="00566BD5" w:rsidRDefault="00840555" w:rsidP="00505376">
            <w:pPr>
              <w:jc w:val="center"/>
              <w:rPr>
                <w:rFonts w:cs="Arial"/>
                <w:b/>
                <w:lang w:eastAsia="de-DE"/>
              </w:rPr>
            </w:pPr>
            <w:r>
              <w:rPr>
                <w:rFonts w:cs="Arial"/>
                <w:b/>
                <w:lang w:eastAsia="de-DE"/>
              </w:rPr>
              <w:t>Metoda wyceny</w:t>
            </w:r>
          </w:p>
        </w:tc>
      </w:tr>
      <w:tr w:rsidR="005E2AEB" w:rsidRPr="00566BD5" w14:paraId="2134FA8B" w14:textId="77777777" w:rsidTr="003D1F16">
        <w:trPr>
          <w:trHeight w:val="323"/>
        </w:trPr>
        <w:tc>
          <w:tcPr>
            <w:tcW w:w="828" w:type="dxa"/>
            <w:shd w:val="clear" w:color="auto" w:fill="auto"/>
            <w:vAlign w:val="center"/>
          </w:tcPr>
          <w:p w14:paraId="646EAE48" w14:textId="77777777" w:rsidR="005E2AEB" w:rsidRPr="00566BD5" w:rsidRDefault="005E2AEB" w:rsidP="005E2AEB">
            <w:pPr>
              <w:jc w:val="center"/>
              <w:rPr>
                <w:rFonts w:cs="Arial"/>
                <w:b/>
                <w:lang w:eastAsia="de-DE"/>
              </w:rPr>
            </w:pPr>
            <w:r w:rsidRPr="00566BD5">
              <w:rPr>
                <w:rFonts w:cs="Arial"/>
                <w:b/>
                <w:lang w:eastAsia="de-DE"/>
              </w:rPr>
              <w:t>1</w:t>
            </w:r>
          </w:p>
        </w:tc>
        <w:tc>
          <w:tcPr>
            <w:tcW w:w="3778" w:type="dxa"/>
            <w:shd w:val="clear" w:color="auto" w:fill="auto"/>
            <w:vAlign w:val="center"/>
          </w:tcPr>
          <w:p w14:paraId="0520F965" w14:textId="77777777" w:rsidR="005E2AEB" w:rsidRPr="009F45A2" w:rsidRDefault="005E2AEB" w:rsidP="005E2AEB">
            <w:pPr>
              <w:jc w:val="center"/>
              <w:rPr>
                <w:rFonts w:cs="Arial"/>
                <w:lang w:eastAsia="de-DE"/>
              </w:rPr>
            </w:pPr>
            <w:r w:rsidRPr="009F45A2">
              <w:rPr>
                <w:rFonts w:cs="Arial"/>
                <w:lang w:eastAsia="de-DE"/>
              </w:rPr>
              <w:t>Budynki i budowle</w:t>
            </w:r>
          </w:p>
        </w:tc>
        <w:tc>
          <w:tcPr>
            <w:tcW w:w="2371" w:type="dxa"/>
            <w:vAlign w:val="bottom"/>
          </w:tcPr>
          <w:p w14:paraId="5D0C471F" w14:textId="146EAF79" w:rsidR="005E2AEB" w:rsidRPr="009F45A2" w:rsidRDefault="005E2AEB" w:rsidP="005E2AEB">
            <w:pPr>
              <w:rPr>
                <w:rFonts w:cs="Arial"/>
                <w:lang w:eastAsia="de-DE"/>
              </w:rPr>
            </w:pPr>
            <w:r>
              <w:rPr>
                <w:color w:val="000000"/>
                <w:lang w:eastAsia="pl-PL"/>
              </w:rPr>
              <w:t xml:space="preserve">          26.199.209,04 </w:t>
            </w:r>
          </w:p>
        </w:tc>
        <w:tc>
          <w:tcPr>
            <w:tcW w:w="2085" w:type="dxa"/>
          </w:tcPr>
          <w:p w14:paraId="3B114947" w14:textId="2D19F297" w:rsidR="005E2AEB" w:rsidRPr="009F45A2" w:rsidRDefault="005E2AEB" w:rsidP="005E2AEB">
            <w:pPr>
              <w:jc w:val="center"/>
              <w:rPr>
                <w:rFonts w:cs="Arial"/>
                <w:lang w:eastAsia="de-DE"/>
              </w:rPr>
            </w:pPr>
            <w:r>
              <w:rPr>
                <w:rFonts w:cs="Arial"/>
                <w:lang w:eastAsia="de-DE"/>
              </w:rPr>
              <w:t>odtworzeniowa</w:t>
            </w:r>
          </w:p>
        </w:tc>
      </w:tr>
      <w:tr w:rsidR="005E2AEB" w:rsidRPr="00566BD5" w14:paraId="6A562315" w14:textId="77777777" w:rsidTr="003D1F16">
        <w:trPr>
          <w:trHeight w:val="334"/>
        </w:trPr>
        <w:tc>
          <w:tcPr>
            <w:tcW w:w="828" w:type="dxa"/>
            <w:shd w:val="clear" w:color="auto" w:fill="auto"/>
            <w:vAlign w:val="center"/>
          </w:tcPr>
          <w:p w14:paraId="087C607F" w14:textId="77777777" w:rsidR="005E2AEB" w:rsidRPr="00566BD5" w:rsidRDefault="005E2AEB" w:rsidP="005E2AEB">
            <w:pPr>
              <w:jc w:val="center"/>
              <w:rPr>
                <w:rFonts w:cs="Arial"/>
                <w:b/>
                <w:lang w:eastAsia="de-DE"/>
              </w:rPr>
            </w:pPr>
            <w:r w:rsidRPr="00566BD5">
              <w:rPr>
                <w:rFonts w:cs="Arial"/>
                <w:b/>
                <w:lang w:eastAsia="de-DE"/>
              </w:rPr>
              <w:t>2</w:t>
            </w:r>
          </w:p>
        </w:tc>
        <w:tc>
          <w:tcPr>
            <w:tcW w:w="3778" w:type="dxa"/>
            <w:shd w:val="clear" w:color="auto" w:fill="auto"/>
            <w:vAlign w:val="center"/>
          </w:tcPr>
          <w:p w14:paraId="268E8BE1" w14:textId="77777777" w:rsidR="005E2AEB" w:rsidRPr="009F45A2" w:rsidRDefault="005E2AEB" w:rsidP="005E2AEB">
            <w:pPr>
              <w:jc w:val="center"/>
              <w:rPr>
                <w:rFonts w:cs="Arial"/>
                <w:lang w:eastAsia="de-DE"/>
              </w:rPr>
            </w:pPr>
            <w:r w:rsidRPr="009F45A2">
              <w:rPr>
                <w:rFonts w:cs="Arial"/>
                <w:lang w:eastAsia="de-DE"/>
              </w:rPr>
              <w:t>Maszyny, aparaty i urządzenia</w:t>
            </w:r>
          </w:p>
        </w:tc>
        <w:tc>
          <w:tcPr>
            <w:tcW w:w="2371" w:type="dxa"/>
            <w:vAlign w:val="bottom"/>
          </w:tcPr>
          <w:p w14:paraId="459902DE" w14:textId="754E7F35" w:rsidR="005E2AEB" w:rsidRPr="009F45A2" w:rsidRDefault="005E2AEB" w:rsidP="005E2AEB">
            <w:pPr>
              <w:rPr>
                <w:rFonts w:eastAsia="Arial Unicode MS" w:cs="Arial"/>
                <w:bCs/>
                <w:lang w:eastAsia="de-DE"/>
              </w:rPr>
            </w:pPr>
            <w:r>
              <w:rPr>
                <w:color w:val="000000"/>
                <w:lang w:eastAsia="pl-PL"/>
              </w:rPr>
              <w:t xml:space="preserve">           10.810.677,33 </w:t>
            </w:r>
          </w:p>
        </w:tc>
        <w:tc>
          <w:tcPr>
            <w:tcW w:w="2085" w:type="dxa"/>
          </w:tcPr>
          <w:p w14:paraId="1A0FC71B" w14:textId="07C8244F" w:rsidR="005E2AEB" w:rsidRPr="009F45A2" w:rsidRDefault="005E2AEB" w:rsidP="005E2AEB">
            <w:pPr>
              <w:jc w:val="center"/>
            </w:pPr>
            <w:r w:rsidRPr="00D26FF8">
              <w:rPr>
                <w:rFonts w:cs="Arial"/>
                <w:lang w:eastAsia="de-DE"/>
              </w:rPr>
              <w:t>odtworzeniowa</w:t>
            </w:r>
          </w:p>
        </w:tc>
      </w:tr>
      <w:tr w:rsidR="00840555" w14:paraId="5EA34120" w14:textId="77777777" w:rsidTr="00505376">
        <w:trPr>
          <w:trHeight w:val="323"/>
        </w:trPr>
        <w:tc>
          <w:tcPr>
            <w:tcW w:w="828" w:type="dxa"/>
            <w:shd w:val="clear" w:color="auto" w:fill="auto"/>
            <w:vAlign w:val="center"/>
          </w:tcPr>
          <w:p w14:paraId="32B8874A" w14:textId="4118C0D5" w:rsidR="00840555" w:rsidRPr="00566BD5" w:rsidRDefault="00EC745A" w:rsidP="00505376">
            <w:pPr>
              <w:jc w:val="center"/>
              <w:rPr>
                <w:rFonts w:cs="Arial"/>
                <w:b/>
                <w:lang w:eastAsia="de-DE"/>
              </w:rPr>
            </w:pPr>
            <w:r>
              <w:rPr>
                <w:rFonts w:cs="Arial"/>
                <w:b/>
                <w:lang w:eastAsia="de-DE"/>
              </w:rPr>
              <w:t>3</w:t>
            </w:r>
          </w:p>
        </w:tc>
        <w:tc>
          <w:tcPr>
            <w:tcW w:w="3778" w:type="dxa"/>
            <w:shd w:val="clear" w:color="auto" w:fill="auto"/>
            <w:vAlign w:val="center"/>
          </w:tcPr>
          <w:p w14:paraId="6C2AFCD8" w14:textId="77777777" w:rsidR="00840555" w:rsidRPr="009F45A2" w:rsidRDefault="00840555" w:rsidP="00505376">
            <w:pPr>
              <w:jc w:val="center"/>
              <w:rPr>
                <w:rFonts w:cs="Arial"/>
                <w:lang w:eastAsia="de-DE"/>
              </w:rPr>
            </w:pPr>
            <w:r w:rsidRPr="009F45A2">
              <w:rPr>
                <w:rFonts w:cs="Arial"/>
                <w:lang w:eastAsia="de-DE"/>
              </w:rPr>
              <w:t>Szyby i przedmioty szklane</w:t>
            </w:r>
          </w:p>
        </w:tc>
        <w:tc>
          <w:tcPr>
            <w:tcW w:w="2371" w:type="dxa"/>
            <w:vAlign w:val="center"/>
          </w:tcPr>
          <w:p w14:paraId="4832D7F0" w14:textId="10755BB5" w:rsidR="00840555" w:rsidRPr="009F45A2" w:rsidRDefault="00675687" w:rsidP="00505376">
            <w:pPr>
              <w:jc w:val="center"/>
              <w:rPr>
                <w:rFonts w:eastAsia="Arial Unicode MS" w:cs="Arial"/>
                <w:bCs/>
                <w:lang w:eastAsia="de-DE"/>
              </w:rPr>
            </w:pPr>
            <w:r>
              <w:rPr>
                <w:rFonts w:eastAsia="Arial Unicode MS" w:cs="Arial"/>
                <w:bCs/>
                <w:lang w:eastAsia="de-DE"/>
              </w:rPr>
              <w:t>5</w:t>
            </w:r>
            <w:r w:rsidR="00840555" w:rsidRPr="009F45A2">
              <w:rPr>
                <w:rFonts w:eastAsia="Arial Unicode MS" w:cs="Arial"/>
                <w:bCs/>
                <w:lang w:eastAsia="de-DE"/>
              </w:rPr>
              <w:t>0.000,00</w:t>
            </w:r>
          </w:p>
        </w:tc>
        <w:tc>
          <w:tcPr>
            <w:tcW w:w="2085" w:type="dxa"/>
          </w:tcPr>
          <w:p w14:paraId="6192FA90"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Na pierwsze ryzyko</w:t>
            </w:r>
          </w:p>
        </w:tc>
      </w:tr>
      <w:tr w:rsidR="00840555" w:rsidRPr="00566BD5" w14:paraId="0C4E62E6" w14:textId="77777777" w:rsidTr="00505376">
        <w:trPr>
          <w:trHeight w:val="334"/>
        </w:trPr>
        <w:tc>
          <w:tcPr>
            <w:tcW w:w="828" w:type="dxa"/>
            <w:shd w:val="clear" w:color="auto" w:fill="auto"/>
            <w:vAlign w:val="center"/>
          </w:tcPr>
          <w:p w14:paraId="38064829" w14:textId="3FF6BBD6" w:rsidR="00840555" w:rsidRPr="00566BD5" w:rsidRDefault="00EC745A" w:rsidP="00505376">
            <w:pPr>
              <w:jc w:val="center"/>
              <w:rPr>
                <w:rFonts w:cs="Arial"/>
                <w:b/>
                <w:lang w:eastAsia="de-DE"/>
              </w:rPr>
            </w:pPr>
            <w:r>
              <w:rPr>
                <w:rFonts w:cs="Arial"/>
                <w:b/>
                <w:lang w:eastAsia="de-DE"/>
              </w:rPr>
              <w:t>4</w:t>
            </w:r>
          </w:p>
        </w:tc>
        <w:tc>
          <w:tcPr>
            <w:tcW w:w="3778" w:type="dxa"/>
            <w:shd w:val="clear" w:color="auto" w:fill="auto"/>
            <w:vAlign w:val="center"/>
          </w:tcPr>
          <w:p w14:paraId="640B1712" w14:textId="77777777" w:rsidR="00840555" w:rsidRPr="009F45A2" w:rsidRDefault="00840555" w:rsidP="00505376">
            <w:pPr>
              <w:jc w:val="center"/>
              <w:rPr>
                <w:rFonts w:cs="Arial"/>
                <w:lang w:eastAsia="de-DE"/>
              </w:rPr>
            </w:pPr>
            <w:r w:rsidRPr="009F45A2">
              <w:rPr>
                <w:rFonts w:cs="Arial"/>
                <w:lang w:eastAsia="de-DE"/>
              </w:rPr>
              <w:t>Mienie niskiej wartości</w:t>
            </w:r>
          </w:p>
        </w:tc>
        <w:tc>
          <w:tcPr>
            <w:tcW w:w="2371" w:type="dxa"/>
            <w:vAlign w:val="center"/>
          </w:tcPr>
          <w:p w14:paraId="18810700"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1.000.000,00</w:t>
            </w:r>
          </w:p>
        </w:tc>
        <w:tc>
          <w:tcPr>
            <w:tcW w:w="2085" w:type="dxa"/>
          </w:tcPr>
          <w:p w14:paraId="28F64F56" w14:textId="77777777" w:rsidR="00840555" w:rsidRPr="009F45A2" w:rsidRDefault="00840555" w:rsidP="00505376">
            <w:r w:rsidRPr="009F45A2">
              <w:rPr>
                <w:rFonts w:eastAsia="Arial Unicode MS" w:cs="Arial"/>
                <w:bCs/>
                <w:lang w:eastAsia="de-DE"/>
              </w:rPr>
              <w:t>Na pierwsze ryzyko</w:t>
            </w:r>
          </w:p>
        </w:tc>
      </w:tr>
      <w:tr w:rsidR="00840555" w:rsidRPr="00566BD5" w14:paraId="194124FD" w14:textId="77777777" w:rsidTr="00505376">
        <w:trPr>
          <w:trHeight w:val="334"/>
        </w:trPr>
        <w:tc>
          <w:tcPr>
            <w:tcW w:w="828" w:type="dxa"/>
            <w:shd w:val="clear" w:color="auto" w:fill="auto"/>
            <w:vAlign w:val="center"/>
          </w:tcPr>
          <w:p w14:paraId="3634BE10" w14:textId="0CC204EC" w:rsidR="00840555" w:rsidRPr="00566BD5" w:rsidRDefault="00EC745A" w:rsidP="00505376">
            <w:pPr>
              <w:jc w:val="center"/>
              <w:rPr>
                <w:rFonts w:cs="Arial"/>
                <w:b/>
                <w:lang w:eastAsia="de-DE"/>
              </w:rPr>
            </w:pPr>
            <w:r>
              <w:rPr>
                <w:rFonts w:cs="Arial"/>
                <w:b/>
                <w:lang w:eastAsia="de-DE"/>
              </w:rPr>
              <w:t>5</w:t>
            </w:r>
          </w:p>
        </w:tc>
        <w:tc>
          <w:tcPr>
            <w:tcW w:w="3778" w:type="dxa"/>
            <w:shd w:val="clear" w:color="auto" w:fill="auto"/>
            <w:vAlign w:val="center"/>
          </w:tcPr>
          <w:p w14:paraId="206C419C" w14:textId="77777777" w:rsidR="00840555" w:rsidRPr="009F45A2" w:rsidRDefault="00840555" w:rsidP="00505376">
            <w:pPr>
              <w:jc w:val="center"/>
              <w:rPr>
                <w:rFonts w:cs="Arial"/>
                <w:lang w:eastAsia="de-DE"/>
              </w:rPr>
            </w:pPr>
            <w:r w:rsidRPr="009F45A2">
              <w:rPr>
                <w:rFonts w:cs="Arial"/>
                <w:lang w:eastAsia="de-DE"/>
              </w:rPr>
              <w:t>Środki obrotowe</w:t>
            </w:r>
          </w:p>
        </w:tc>
        <w:tc>
          <w:tcPr>
            <w:tcW w:w="2371" w:type="dxa"/>
            <w:vAlign w:val="center"/>
          </w:tcPr>
          <w:p w14:paraId="741DB052"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1.000.000,00</w:t>
            </w:r>
          </w:p>
        </w:tc>
        <w:tc>
          <w:tcPr>
            <w:tcW w:w="2085" w:type="dxa"/>
          </w:tcPr>
          <w:p w14:paraId="320231E6" w14:textId="77777777" w:rsidR="00840555" w:rsidRPr="009F45A2" w:rsidRDefault="00840555" w:rsidP="00505376">
            <w:r w:rsidRPr="009F45A2">
              <w:rPr>
                <w:rFonts w:eastAsia="Arial Unicode MS" w:cs="Arial"/>
                <w:bCs/>
                <w:lang w:eastAsia="de-DE"/>
              </w:rPr>
              <w:t>Na pierwsze ryzyko</w:t>
            </w:r>
          </w:p>
        </w:tc>
      </w:tr>
      <w:tr w:rsidR="00840555" w:rsidRPr="00566BD5" w14:paraId="300AAE2B" w14:textId="77777777" w:rsidTr="00505376">
        <w:trPr>
          <w:trHeight w:val="323"/>
        </w:trPr>
        <w:tc>
          <w:tcPr>
            <w:tcW w:w="828" w:type="dxa"/>
            <w:shd w:val="clear" w:color="auto" w:fill="auto"/>
            <w:vAlign w:val="center"/>
          </w:tcPr>
          <w:p w14:paraId="7334CEFB" w14:textId="5D1AA61D" w:rsidR="00840555" w:rsidRPr="00566BD5" w:rsidRDefault="00EC745A" w:rsidP="00505376">
            <w:pPr>
              <w:jc w:val="center"/>
              <w:rPr>
                <w:rFonts w:cs="Arial"/>
                <w:b/>
                <w:lang w:eastAsia="de-DE"/>
              </w:rPr>
            </w:pPr>
            <w:r>
              <w:rPr>
                <w:rFonts w:cs="Arial"/>
                <w:b/>
                <w:lang w:eastAsia="de-DE"/>
              </w:rPr>
              <w:t>6</w:t>
            </w:r>
          </w:p>
        </w:tc>
        <w:tc>
          <w:tcPr>
            <w:tcW w:w="3778" w:type="dxa"/>
            <w:shd w:val="clear" w:color="auto" w:fill="auto"/>
            <w:vAlign w:val="center"/>
          </w:tcPr>
          <w:p w14:paraId="4BF5618D" w14:textId="77777777" w:rsidR="00840555" w:rsidRPr="009F45A2" w:rsidRDefault="00840555" w:rsidP="00505376">
            <w:pPr>
              <w:jc w:val="center"/>
              <w:rPr>
                <w:rFonts w:cs="Arial"/>
                <w:lang w:eastAsia="de-DE"/>
              </w:rPr>
            </w:pPr>
            <w:r w:rsidRPr="009F45A2">
              <w:rPr>
                <w:rFonts w:cs="Arial"/>
                <w:lang w:eastAsia="de-DE"/>
              </w:rPr>
              <w:t>Mienie należące do pacjentów</w:t>
            </w:r>
          </w:p>
        </w:tc>
        <w:tc>
          <w:tcPr>
            <w:tcW w:w="2371" w:type="dxa"/>
            <w:vAlign w:val="center"/>
          </w:tcPr>
          <w:p w14:paraId="1FAC4D7E"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50.000,00</w:t>
            </w:r>
          </w:p>
        </w:tc>
        <w:tc>
          <w:tcPr>
            <w:tcW w:w="2085" w:type="dxa"/>
          </w:tcPr>
          <w:p w14:paraId="3025AA80" w14:textId="77777777" w:rsidR="00840555" w:rsidRPr="009F45A2" w:rsidRDefault="00840555" w:rsidP="00505376">
            <w:r w:rsidRPr="009F45A2">
              <w:rPr>
                <w:rFonts w:eastAsia="Arial Unicode MS" w:cs="Arial"/>
                <w:bCs/>
                <w:lang w:eastAsia="de-DE"/>
              </w:rPr>
              <w:t>Na pierwsze ryzyko</w:t>
            </w:r>
          </w:p>
        </w:tc>
      </w:tr>
      <w:tr w:rsidR="00840555" w:rsidRPr="00566BD5" w14:paraId="0BE0E6BB" w14:textId="77777777" w:rsidTr="00505376">
        <w:trPr>
          <w:trHeight w:val="334"/>
        </w:trPr>
        <w:tc>
          <w:tcPr>
            <w:tcW w:w="828" w:type="dxa"/>
            <w:shd w:val="clear" w:color="auto" w:fill="auto"/>
            <w:vAlign w:val="center"/>
          </w:tcPr>
          <w:p w14:paraId="24C86DE8" w14:textId="1F93E54A" w:rsidR="00840555" w:rsidRPr="00566BD5" w:rsidRDefault="00EC745A" w:rsidP="00505376">
            <w:pPr>
              <w:jc w:val="center"/>
              <w:rPr>
                <w:rFonts w:cs="Arial"/>
                <w:b/>
                <w:lang w:eastAsia="de-DE"/>
              </w:rPr>
            </w:pPr>
            <w:r>
              <w:rPr>
                <w:rFonts w:cs="Arial"/>
                <w:b/>
                <w:lang w:eastAsia="de-DE"/>
              </w:rPr>
              <w:t>7</w:t>
            </w:r>
          </w:p>
        </w:tc>
        <w:tc>
          <w:tcPr>
            <w:tcW w:w="3778" w:type="dxa"/>
            <w:shd w:val="clear" w:color="auto" w:fill="auto"/>
            <w:vAlign w:val="center"/>
          </w:tcPr>
          <w:p w14:paraId="382D1F4B" w14:textId="77777777" w:rsidR="00840555" w:rsidRPr="009F45A2" w:rsidRDefault="00840555" w:rsidP="00505376">
            <w:pPr>
              <w:jc w:val="center"/>
              <w:rPr>
                <w:rFonts w:cs="Arial"/>
                <w:lang w:eastAsia="de-DE"/>
              </w:rPr>
            </w:pPr>
            <w:r w:rsidRPr="009F45A2">
              <w:rPr>
                <w:rFonts w:cs="Arial"/>
                <w:lang w:eastAsia="de-DE"/>
              </w:rPr>
              <w:t>Mienie należące do pracowników</w:t>
            </w:r>
          </w:p>
        </w:tc>
        <w:tc>
          <w:tcPr>
            <w:tcW w:w="2371" w:type="dxa"/>
            <w:vAlign w:val="center"/>
          </w:tcPr>
          <w:p w14:paraId="36165B0F"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10.000,00</w:t>
            </w:r>
          </w:p>
        </w:tc>
        <w:tc>
          <w:tcPr>
            <w:tcW w:w="2085" w:type="dxa"/>
          </w:tcPr>
          <w:p w14:paraId="12B02DFC" w14:textId="77777777" w:rsidR="00840555" w:rsidRPr="009F45A2" w:rsidRDefault="00840555" w:rsidP="00505376">
            <w:r w:rsidRPr="009F45A2">
              <w:rPr>
                <w:rFonts w:eastAsia="Arial Unicode MS" w:cs="Arial"/>
                <w:bCs/>
                <w:lang w:eastAsia="de-DE"/>
              </w:rPr>
              <w:t>Na pierwsze ryzyko</w:t>
            </w:r>
          </w:p>
        </w:tc>
      </w:tr>
      <w:tr w:rsidR="00840555" w:rsidRPr="00707590" w14:paraId="10610316" w14:textId="77777777" w:rsidTr="00505376">
        <w:trPr>
          <w:trHeight w:val="334"/>
        </w:trPr>
        <w:tc>
          <w:tcPr>
            <w:tcW w:w="828" w:type="dxa"/>
            <w:shd w:val="clear" w:color="auto" w:fill="FFFFFF" w:themeFill="background1"/>
            <w:vAlign w:val="center"/>
          </w:tcPr>
          <w:p w14:paraId="4E0040AA" w14:textId="465A029D" w:rsidR="00840555" w:rsidRPr="00F2515C" w:rsidRDefault="00EC745A" w:rsidP="00505376">
            <w:pPr>
              <w:jc w:val="center"/>
              <w:rPr>
                <w:rFonts w:cs="Arial"/>
                <w:b/>
                <w:lang w:eastAsia="de-DE"/>
              </w:rPr>
            </w:pPr>
            <w:r>
              <w:rPr>
                <w:rFonts w:cs="Arial"/>
                <w:b/>
                <w:lang w:eastAsia="de-DE"/>
              </w:rPr>
              <w:t>8</w:t>
            </w:r>
          </w:p>
        </w:tc>
        <w:tc>
          <w:tcPr>
            <w:tcW w:w="3778" w:type="dxa"/>
            <w:shd w:val="clear" w:color="auto" w:fill="FFFFFF" w:themeFill="background1"/>
            <w:vAlign w:val="center"/>
          </w:tcPr>
          <w:p w14:paraId="7ABDA474" w14:textId="77777777" w:rsidR="00840555" w:rsidRPr="009F45A2" w:rsidRDefault="00840555" w:rsidP="00505376">
            <w:pPr>
              <w:jc w:val="center"/>
              <w:rPr>
                <w:rFonts w:cs="Arial"/>
                <w:lang w:eastAsia="de-DE"/>
              </w:rPr>
            </w:pPr>
            <w:r w:rsidRPr="009F45A2">
              <w:rPr>
                <w:rFonts w:cs="Arial"/>
                <w:lang w:eastAsia="de-DE"/>
              </w:rPr>
              <w:t>Wartości pieniężne</w:t>
            </w:r>
          </w:p>
        </w:tc>
        <w:tc>
          <w:tcPr>
            <w:tcW w:w="2371" w:type="dxa"/>
            <w:shd w:val="clear" w:color="auto" w:fill="FFFFFF" w:themeFill="background1"/>
            <w:vAlign w:val="center"/>
          </w:tcPr>
          <w:p w14:paraId="585AE928" w14:textId="5D275593" w:rsidR="00840555" w:rsidRPr="009F45A2" w:rsidRDefault="00F2330B" w:rsidP="00505376">
            <w:pPr>
              <w:jc w:val="center"/>
              <w:rPr>
                <w:rFonts w:eastAsia="Arial Unicode MS" w:cs="Arial"/>
                <w:bCs/>
                <w:lang w:eastAsia="de-DE"/>
              </w:rPr>
            </w:pPr>
            <w:r>
              <w:rPr>
                <w:rFonts w:eastAsia="Arial Unicode MS" w:cs="Arial"/>
                <w:bCs/>
                <w:lang w:eastAsia="de-DE"/>
              </w:rPr>
              <w:t>3</w:t>
            </w:r>
            <w:r w:rsidR="00840555" w:rsidRPr="009F45A2">
              <w:rPr>
                <w:rFonts w:eastAsia="Arial Unicode MS" w:cs="Arial"/>
                <w:bCs/>
                <w:lang w:eastAsia="de-DE"/>
              </w:rPr>
              <w:t>0.000,00</w:t>
            </w:r>
          </w:p>
        </w:tc>
        <w:tc>
          <w:tcPr>
            <w:tcW w:w="2085" w:type="dxa"/>
            <w:shd w:val="clear" w:color="auto" w:fill="FFFFFF" w:themeFill="background1"/>
          </w:tcPr>
          <w:p w14:paraId="32AF767A" w14:textId="77777777" w:rsidR="00840555" w:rsidRPr="009F45A2" w:rsidRDefault="00840555" w:rsidP="00505376">
            <w:r w:rsidRPr="009F45A2">
              <w:rPr>
                <w:rFonts w:eastAsia="Arial Unicode MS" w:cs="Arial"/>
                <w:bCs/>
                <w:lang w:eastAsia="de-DE"/>
              </w:rPr>
              <w:t>Na pierwsze ryzyko</w:t>
            </w:r>
          </w:p>
        </w:tc>
      </w:tr>
      <w:tr w:rsidR="00840555" w:rsidRPr="00566BD5" w14:paraId="4FB96876" w14:textId="77777777" w:rsidTr="00505376">
        <w:trPr>
          <w:trHeight w:val="323"/>
        </w:trPr>
        <w:tc>
          <w:tcPr>
            <w:tcW w:w="828" w:type="dxa"/>
            <w:shd w:val="clear" w:color="auto" w:fill="auto"/>
            <w:vAlign w:val="center"/>
          </w:tcPr>
          <w:p w14:paraId="74C01185" w14:textId="49F10A35" w:rsidR="00840555" w:rsidRPr="00566BD5" w:rsidRDefault="00EC745A" w:rsidP="00505376">
            <w:pPr>
              <w:jc w:val="center"/>
              <w:rPr>
                <w:rFonts w:cs="Arial"/>
                <w:b/>
                <w:lang w:eastAsia="de-DE"/>
              </w:rPr>
            </w:pPr>
            <w:r>
              <w:rPr>
                <w:rFonts w:cs="Arial"/>
                <w:b/>
                <w:lang w:eastAsia="de-DE"/>
              </w:rPr>
              <w:t>9</w:t>
            </w:r>
          </w:p>
        </w:tc>
        <w:tc>
          <w:tcPr>
            <w:tcW w:w="3778" w:type="dxa"/>
            <w:shd w:val="clear" w:color="auto" w:fill="auto"/>
            <w:vAlign w:val="center"/>
          </w:tcPr>
          <w:p w14:paraId="076D13CE" w14:textId="77777777" w:rsidR="00840555" w:rsidRPr="009F45A2" w:rsidRDefault="00840555" w:rsidP="00505376">
            <w:pPr>
              <w:jc w:val="center"/>
              <w:rPr>
                <w:rFonts w:cs="Arial"/>
                <w:lang w:eastAsia="de-DE"/>
              </w:rPr>
            </w:pPr>
            <w:r w:rsidRPr="009F45A2">
              <w:rPr>
                <w:rFonts w:cs="Arial"/>
                <w:lang w:eastAsia="de-DE"/>
              </w:rPr>
              <w:t>Koszty odtworzenia danych/systemu informatycznego</w:t>
            </w:r>
          </w:p>
        </w:tc>
        <w:tc>
          <w:tcPr>
            <w:tcW w:w="2371" w:type="dxa"/>
            <w:vAlign w:val="center"/>
          </w:tcPr>
          <w:p w14:paraId="7E9D7C4E"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100.000,00</w:t>
            </w:r>
          </w:p>
        </w:tc>
        <w:tc>
          <w:tcPr>
            <w:tcW w:w="2085" w:type="dxa"/>
          </w:tcPr>
          <w:p w14:paraId="7AB6BE8F" w14:textId="77777777" w:rsidR="00840555" w:rsidRPr="009F45A2" w:rsidRDefault="00840555" w:rsidP="00505376">
            <w:r w:rsidRPr="009F45A2">
              <w:rPr>
                <w:rFonts w:eastAsia="Arial Unicode MS" w:cs="Arial"/>
                <w:bCs/>
                <w:lang w:eastAsia="de-DE"/>
              </w:rPr>
              <w:t>Na pierwsze ryzyko</w:t>
            </w:r>
          </w:p>
        </w:tc>
      </w:tr>
      <w:tr w:rsidR="00840555" w:rsidRPr="00566BD5" w14:paraId="31AE835A" w14:textId="77777777" w:rsidTr="00505376">
        <w:trPr>
          <w:trHeight w:val="334"/>
        </w:trPr>
        <w:tc>
          <w:tcPr>
            <w:tcW w:w="828" w:type="dxa"/>
            <w:shd w:val="clear" w:color="auto" w:fill="auto"/>
            <w:vAlign w:val="center"/>
          </w:tcPr>
          <w:p w14:paraId="57533ADD" w14:textId="333E7CAA" w:rsidR="00840555" w:rsidRPr="00566BD5" w:rsidRDefault="00EC745A" w:rsidP="00505376">
            <w:pPr>
              <w:jc w:val="center"/>
              <w:rPr>
                <w:rFonts w:cs="Arial"/>
                <w:b/>
                <w:lang w:eastAsia="de-DE"/>
              </w:rPr>
            </w:pPr>
            <w:r>
              <w:rPr>
                <w:rFonts w:cs="Arial"/>
                <w:b/>
                <w:lang w:eastAsia="de-DE"/>
              </w:rPr>
              <w:t>10</w:t>
            </w:r>
          </w:p>
        </w:tc>
        <w:tc>
          <w:tcPr>
            <w:tcW w:w="3778" w:type="dxa"/>
            <w:shd w:val="clear" w:color="auto" w:fill="auto"/>
            <w:vAlign w:val="center"/>
          </w:tcPr>
          <w:p w14:paraId="2F061DC2" w14:textId="77777777" w:rsidR="00840555" w:rsidRPr="009F45A2" w:rsidRDefault="00840555" w:rsidP="00505376">
            <w:pPr>
              <w:jc w:val="center"/>
              <w:rPr>
                <w:rFonts w:cs="Arial"/>
                <w:lang w:eastAsia="de-DE"/>
              </w:rPr>
            </w:pPr>
            <w:r w:rsidRPr="009F45A2">
              <w:rPr>
                <w:rFonts w:cs="Arial"/>
                <w:lang w:eastAsia="de-DE"/>
              </w:rPr>
              <w:t>Maszyny elektryczne od szkód elektrycznych</w:t>
            </w:r>
          </w:p>
        </w:tc>
        <w:tc>
          <w:tcPr>
            <w:tcW w:w="2371" w:type="dxa"/>
            <w:vAlign w:val="center"/>
          </w:tcPr>
          <w:p w14:paraId="18B05D6B"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1.000.000,00</w:t>
            </w:r>
          </w:p>
        </w:tc>
        <w:tc>
          <w:tcPr>
            <w:tcW w:w="2085" w:type="dxa"/>
          </w:tcPr>
          <w:p w14:paraId="40FC7F5A" w14:textId="77777777" w:rsidR="00840555" w:rsidRPr="009F45A2" w:rsidRDefault="00840555" w:rsidP="00505376">
            <w:r w:rsidRPr="009F45A2">
              <w:rPr>
                <w:rFonts w:eastAsia="Arial Unicode MS" w:cs="Arial"/>
                <w:bCs/>
                <w:lang w:eastAsia="de-DE"/>
              </w:rPr>
              <w:t>Na pierwsze ryzyko</w:t>
            </w:r>
          </w:p>
        </w:tc>
      </w:tr>
      <w:tr w:rsidR="00840555" w:rsidRPr="00566BD5" w14:paraId="6D983173" w14:textId="77777777" w:rsidTr="00505376">
        <w:trPr>
          <w:trHeight w:val="535"/>
        </w:trPr>
        <w:tc>
          <w:tcPr>
            <w:tcW w:w="828" w:type="dxa"/>
            <w:shd w:val="clear" w:color="auto" w:fill="auto"/>
            <w:vAlign w:val="center"/>
          </w:tcPr>
          <w:p w14:paraId="0EF1DD81" w14:textId="1A36BBC1" w:rsidR="00840555" w:rsidRPr="00566BD5" w:rsidRDefault="00840555" w:rsidP="00505376">
            <w:pPr>
              <w:jc w:val="center"/>
              <w:rPr>
                <w:rFonts w:cs="Arial"/>
                <w:b/>
                <w:lang w:eastAsia="de-DE"/>
              </w:rPr>
            </w:pPr>
            <w:r w:rsidRPr="00566BD5">
              <w:rPr>
                <w:rFonts w:cs="Arial"/>
                <w:b/>
                <w:lang w:eastAsia="de-DE"/>
              </w:rPr>
              <w:t>1</w:t>
            </w:r>
            <w:r w:rsidR="00EC745A">
              <w:rPr>
                <w:rFonts w:cs="Arial"/>
                <w:b/>
                <w:lang w:eastAsia="de-DE"/>
              </w:rPr>
              <w:t>1</w:t>
            </w:r>
          </w:p>
        </w:tc>
        <w:tc>
          <w:tcPr>
            <w:tcW w:w="3778" w:type="dxa"/>
            <w:shd w:val="clear" w:color="auto" w:fill="auto"/>
            <w:vAlign w:val="center"/>
          </w:tcPr>
          <w:p w14:paraId="6FCB4E1D" w14:textId="77777777" w:rsidR="00840555" w:rsidRPr="009F45A2" w:rsidRDefault="00840555" w:rsidP="00505376">
            <w:pPr>
              <w:jc w:val="center"/>
              <w:rPr>
                <w:rFonts w:cs="Arial"/>
                <w:lang w:eastAsia="de-DE"/>
              </w:rPr>
            </w:pPr>
            <w:r w:rsidRPr="009F45A2">
              <w:rPr>
                <w:rFonts w:cs="Arial"/>
                <w:lang w:eastAsia="de-DE"/>
              </w:rPr>
              <w:t>Maszyny i urządzenia, sprzęt elektroniczny medyczny i niemedyczny od awarii (MB)</w:t>
            </w:r>
          </w:p>
        </w:tc>
        <w:tc>
          <w:tcPr>
            <w:tcW w:w="2371" w:type="dxa"/>
            <w:vAlign w:val="center"/>
          </w:tcPr>
          <w:p w14:paraId="6580ADD6" w14:textId="77777777" w:rsidR="00840555" w:rsidRPr="009F45A2" w:rsidRDefault="00840555" w:rsidP="00505376">
            <w:pPr>
              <w:jc w:val="center"/>
              <w:rPr>
                <w:rFonts w:eastAsia="Arial Unicode MS" w:cs="Arial"/>
                <w:bCs/>
                <w:lang w:eastAsia="de-DE"/>
              </w:rPr>
            </w:pPr>
            <w:r w:rsidRPr="009F45A2">
              <w:rPr>
                <w:rFonts w:eastAsia="Arial Unicode MS" w:cs="Arial"/>
                <w:bCs/>
                <w:lang w:eastAsia="de-DE"/>
              </w:rPr>
              <w:t>500.000,00</w:t>
            </w:r>
          </w:p>
        </w:tc>
        <w:tc>
          <w:tcPr>
            <w:tcW w:w="2085" w:type="dxa"/>
          </w:tcPr>
          <w:p w14:paraId="1499DBF6" w14:textId="77777777" w:rsidR="00840555" w:rsidRPr="009F45A2" w:rsidRDefault="00840555" w:rsidP="00505376">
            <w:r w:rsidRPr="009F45A2">
              <w:rPr>
                <w:rFonts w:eastAsia="Arial Unicode MS" w:cs="Arial"/>
                <w:bCs/>
                <w:lang w:eastAsia="de-DE"/>
              </w:rPr>
              <w:t>Na pierwsze ryzyko</w:t>
            </w:r>
          </w:p>
        </w:tc>
      </w:tr>
    </w:tbl>
    <w:p w14:paraId="02ADF4C1" w14:textId="77777777" w:rsidR="00840555" w:rsidRDefault="00840555" w:rsidP="00840555">
      <w:pPr>
        <w:spacing w:line="276" w:lineRule="auto"/>
        <w:jc w:val="both"/>
        <w:rPr>
          <w:rFonts w:cs="Arial"/>
        </w:rPr>
      </w:pPr>
    </w:p>
    <w:p w14:paraId="669339D9" w14:textId="77777777" w:rsidR="00840555" w:rsidRDefault="00840555" w:rsidP="00840555">
      <w:pPr>
        <w:spacing w:line="276" w:lineRule="auto"/>
        <w:jc w:val="both"/>
        <w:rPr>
          <w:rFonts w:cs="Arial"/>
        </w:rPr>
      </w:pPr>
    </w:p>
    <w:p w14:paraId="391F1A58" w14:textId="77777777" w:rsidR="00840555" w:rsidRPr="00840555" w:rsidRDefault="00840555" w:rsidP="00840555">
      <w:pPr>
        <w:pStyle w:val="Akapitzlist"/>
        <w:numPr>
          <w:ilvl w:val="0"/>
          <w:numId w:val="7"/>
        </w:numPr>
        <w:spacing w:after="160" w:line="276" w:lineRule="auto"/>
        <w:jc w:val="both"/>
        <w:rPr>
          <w:rFonts w:cs="Arial"/>
          <w:lang w:val="pl-PL"/>
        </w:rPr>
      </w:pPr>
      <w:r w:rsidRPr="00840555">
        <w:rPr>
          <w:rFonts w:cs="Arial"/>
          <w:b/>
          <w:lang w:val="pl-PL"/>
        </w:rPr>
        <w:t>Limity odpowiedzialności – ryzyka kradzieży z włamaniem i rabunku</w:t>
      </w:r>
    </w:p>
    <w:p w14:paraId="79426AA5" w14:textId="77777777" w:rsidR="00840555" w:rsidRPr="00840555" w:rsidRDefault="00840555" w:rsidP="00840555">
      <w:pPr>
        <w:pStyle w:val="Akapitzlist"/>
        <w:rPr>
          <w:rFonts w:cs="Arial"/>
          <w:lang w:val="pl-PL"/>
        </w:rPr>
      </w:pPr>
    </w:p>
    <w:p w14:paraId="0402437E" w14:textId="666390BF" w:rsidR="00840555" w:rsidRPr="00840555" w:rsidRDefault="00840555" w:rsidP="00840555">
      <w:pPr>
        <w:pStyle w:val="Akapitzlist"/>
        <w:spacing w:line="276" w:lineRule="auto"/>
        <w:jc w:val="both"/>
        <w:rPr>
          <w:rFonts w:cs="Arial"/>
          <w:lang w:val="pl-PL"/>
        </w:rPr>
      </w:pPr>
      <w:r w:rsidRPr="00840555">
        <w:rPr>
          <w:rFonts w:cs="Arial"/>
          <w:lang w:val="pl-PL"/>
        </w:rPr>
        <w:t xml:space="preserve">Wspólne dla </w:t>
      </w:r>
      <w:r w:rsidR="0060336E">
        <w:rPr>
          <w:rFonts w:cs="Arial"/>
          <w:lang w:val="pl-PL"/>
        </w:rPr>
        <w:t xml:space="preserve">wszystkich </w:t>
      </w:r>
      <w:r w:rsidRPr="00840555">
        <w:rPr>
          <w:rFonts w:cs="Arial"/>
          <w:lang w:val="pl-PL"/>
        </w:rPr>
        <w:t>lokalizacji– RP</w:t>
      </w:r>
    </w:p>
    <w:p w14:paraId="65E3DC83" w14:textId="77777777" w:rsidR="00840555" w:rsidRPr="00840555" w:rsidRDefault="00840555" w:rsidP="00840555">
      <w:pPr>
        <w:pStyle w:val="Akapitzlist"/>
        <w:spacing w:line="276" w:lineRule="auto"/>
        <w:jc w:val="both"/>
        <w:rPr>
          <w:rFonts w:cs="Arial"/>
          <w:lang w:val="pl-PL"/>
        </w:rPr>
      </w:pPr>
    </w:p>
    <w:p w14:paraId="718F8014" w14:textId="77777777" w:rsidR="00840555" w:rsidRPr="00840555" w:rsidRDefault="00840555" w:rsidP="00840555">
      <w:pPr>
        <w:pStyle w:val="Akapitzlist"/>
        <w:spacing w:line="276" w:lineRule="auto"/>
        <w:jc w:val="both"/>
        <w:rPr>
          <w:rFonts w:cs="Arial"/>
          <w:lang w:val="pl-PL"/>
        </w:rPr>
      </w:pPr>
      <w:r w:rsidRPr="00840555">
        <w:rPr>
          <w:rFonts w:cs="Arial"/>
          <w:lang w:val="pl-PL"/>
        </w:rPr>
        <w:t>Urządzenia i wyposażenie – 100.000 zł</w:t>
      </w:r>
    </w:p>
    <w:p w14:paraId="29316E16" w14:textId="77777777" w:rsidR="00840555" w:rsidRPr="00840555" w:rsidRDefault="00840555" w:rsidP="00840555">
      <w:pPr>
        <w:pStyle w:val="Akapitzlist"/>
        <w:spacing w:line="276" w:lineRule="auto"/>
        <w:jc w:val="both"/>
        <w:rPr>
          <w:rFonts w:cs="Arial"/>
          <w:lang w:val="pl-PL"/>
        </w:rPr>
      </w:pPr>
      <w:r w:rsidRPr="00840555">
        <w:rPr>
          <w:rFonts w:cs="Arial"/>
          <w:lang w:val="pl-PL"/>
        </w:rPr>
        <w:t>Środki obrotowe – 500.000 zł</w:t>
      </w:r>
    </w:p>
    <w:p w14:paraId="68590E58" w14:textId="3F93761F" w:rsidR="00840555" w:rsidRPr="00840555" w:rsidRDefault="00840555" w:rsidP="00840555">
      <w:pPr>
        <w:pStyle w:val="Akapitzlist"/>
        <w:spacing w:line="276" w:lineRule="auto"/>
        <w:jc w:val="both"/>
        <w:rPr>
          <w:rFonts w:cs="Arial"/>
          <w:lang w:val="pl-PL"/>
        </w:rPr>
      </w:pPr>
      <w:r w:rsidRPr="00840555">
        <w:rPr>
          <w:rFonts w:cs="Arial"/>
          <w:lang w:val="pl-PL"/>
        </w:rPr>
        <w:t xml:space="preserve">Wartości pieniężne – </w:t>
      </w:r>
      <w:r w:rsidR="00F2330B">
        <w:rPr>
          <w:rFonts w:cs="Arial"/>
          <w:lang w:val="pl-PL"/>
        </w:rPr>
        <w:t>3</w:t>
      </w:r>
      <w:r w:rsidRPr="00840555">
        <w:rPr>
          <w:rFonts w:cs="Arial"/>
          <w:lang w:val="pl-PL"/>
        </w:rPr>
        <w:t>0.000 zł</w:t>
      </w:r>
    </w:p>
    <w:p w14:paraId="3B882354" w14:textId="5E2B2918" w:rsidR="00840555" w:rsidRPr="00840555" w:rsidRDefault="00840555" w:rsidP="00840555">
      <w:pPr>
        <w:pStyle w:val="Akapitzlist"/>
        <w:spacing w:line="276" w:lineRule="auto"/>
        <w:jc w:val="both"/>
        <w:rPr>
          <w:rFonts w:cs="Arial"/>
          <w:lang w:val="pl-PL"/>
        </w:rPr>
      </w:pPr>
      <w:r w:rsidRPr="00840555">
        <w:rPr>
          <w:rFonts w:cs="Arial"/>
          <w:lang w:val="pl-PL"/>
        </w:rPr>
        <w:t xml:space="preserve">Wartości pieniężne od rabunku w transporcie - </w:t>
      </w:r>
      <w:r w:rsidR="00F2330B">
        <w:rPr>
          <w:rFonts w:cs="Arial"/>
          <w:lang w:val="pl-PL"/>
        </w:rPr>
        <w:t>3</w:t>
      </w:r>
      <w:r w:rsidRPr="00840555">
        <w:rPr>
          <w:rFonts w:cs="Arial"/>
          <w:lang w:val="pl-PL"/>
        </w:rPr>
        <w:t>0.000 zł</w:t>
      </w:r>
    </w:p>
    <w:p w14:paraId="70C033CA" w14:textId="77777777" w:rsidR="00840555" w:rsidRPr="00840555" w:rsidRDefault="00840555" w:rsidP="00840555">
      <w:pPr>
        <w:pStyle w:val="Akapitzlist"/>
        <w:spacing w:line="276" w:lineRule="auto"/>
        <w:jc w:val="both"/>
        <w:rPr>
          <w:rFonts w:cs="Arial"/>
          <w:lang w:val="pl-PL"/>
        </w:rPr>
      </w:pPr>
      <w:r w:rsidRPr="00840555">
        <w:rPr>
          <w:rFonts w:cs="Arial"/>
          <w:lang w:val="pl-PL"/>
        </w:rPr>
        <w:t>Mienie należące do pacjentów – 50.000 zł</w:t>
      </w:r>
    </w:p>
    <w:p w14:paraId="188FCA44" w14:textId="77777777" w:rsidR="00840555" w:rsidRPr="00840555" w:rsidRDefault="00840555" w:rsidP="00840555">
      <w:pPr>
        <w:pStyle w:val="Akapitzlist"/>
        <w:spacing w:line="276" w:lineRule="auto"/>
        <w:jc w:val="both"/>
        <w:rPr>
          <w:rFonts w:cs="Arial"/>
          <w:lang w:val="pl-PL"/>
        </w:rPr>
      </w:pPr>
      <w:r w:rsidRPr="00840555">
        <w:rPr>
          <w:rFonts w:cs="Arial"/>
          <w:lang w:val="pl-PL"/>
        </w:rPr>
        <w:t>Mienie należące do pracowników – 10.000 zł</w:t>
      </w:r>
    </w:p>
    <w:p w14:paraId="5F4F4C2C" w14:textId="77777777" w:rsidR="00840555" w:rsidRPr="00840555" w:rsidRDefault="00840555" w:rsidP="00840555">
      <w:pPr>
        <w:pStyle w:val="Akapitzlist"/>
        <w:spacing w:line="276" w:lineRule="auto"/>
        <w:jc w:val="both"/>
        <w:rPr>
          <w:rFonts w:cs="Arial"/>
          <w:lang w:val="pl-PL"/>
        </w:rPr>
      </w:pPr>
    </w:p>
    <w:p w14:paraId="002A1A0A" w14:textId="77777777" w:rsidR="00840555" w:rsidRPr="0081083D" w:rsidRDefault="00840555" w:rsidP="00840555">
      <w:pPr>
        <w:pStyle w:val="Akapitzlist"/>
        <w:numPr>
          <w:ilvl w:val="0"/>
          <w:numId w:val="7"/>
        </w:numPr>
        <w:spacing w:after="160" w:line="276" w:lineRule="auto"/>
        <w:jc w:val="both"/>
        <w:rPr>
          <w:rFonts w:cs="Arial"/>
          <w:b/>
        </w:rPr>
      </w:pPr>
      <w:proofErr w:type="spellStart"/>
      <w:r w:rsidRPr="0081083D">
        <w:rPr>
          <w:rFonts w:cs="Arial"/>
          <w:b/>
        </w:rPr>
        <w:t>Franszyza</w:t>
      </w:r>
      <w:proofErr w:type="spellEnd"/>
      <w:r w:rsidRPr="0081083D">
        <w:rPr>
          <w:rFonts w:cs="Arial"/>
          <w:b/>
        </w:rPr>
        <w:t xml:space="preserve"> </w:t>
      </w:r>
      <w:proofErr w:type="spellStart"/>
      <w:r w:rsidRPr="0081083D">
        <w:rPr>
          <w:rFonts w:cs="Arial"/>
          <w:b/>
        </w:rPr>
        <w:t>integralna</w:t>
      </w:r>
      <w:proofErr w:type="spellEnd"/>
    </w:p>
    <w:p w14:paraId="6A35B43E" w14:textId="77777777" w:rsidR="00840555" w:rsidRPr="0081083D" w:rsidRDefault="00840555" w:rsidP="00840555">
      <w:pPr>
        <w:spacing w:line="276" w:lineRule="auto"/>
        <w:jc w:val="both"/>
        <w:rPr>
          <w:rFonts w:cs="Arial"/>
        </w:rPr>
      </w:pPr>
      <w:r w:rsidRPr="0081083D">
        <w:rPr>
          <w:rFonts w:cs="Arial"/>
        </w:rPr>
        <w:t>Brak.</w:t>
      </w:r>
    </w:p>
    <w:p w14:paraId="29509AB9" w14:textId="77777777" w:rsidR="00840555" w:rsidRPr="0081083D" w:rsidRDefault="00840555" w:rsidP="00840555">
      <w:pPr>
        <w:spacing w:line="276" w:lineRule="auto"/>
        <w:jc w:val="both"/>
        <w:rPr>
          <w:rFonts w:cs="Arial"/>
        </w:rPr>
      </w:pPr>
    </w:p>
    <w:p w14:paraId="144C7829" w14:textId="77777777" w:rsidR="00840555" w:rsidRPr="0081083D" w:rsidRDefault="00840555" w:rsidP="00840555">
      <w:pPr>
        <w:pStyle w:val="Akapitzlist"/>
        <w:numPr>
          <w:ilvl w:val="0"/>
          <w:numId w:val="7"/>
        </w:numPr>
        <w:spacing w:after="160" w:line="276" w:lineRule="auto"/>
        <w:jc w:val="both"/>
        <w:rPr>
          <w:rFonts w:cs="Arial"/>
          <w:b/>
        </w:rPr>
      </w:pPr>
      <w:proofErr w:type="spellStart"/>
      <w:r w:rsidRPr="0081083D">
        <w:rPr>
          <w:rFonts w:cs="Arial"/>
          <w:b/>
        </w:rPr>
        <w:t>Franszyza</w:t>
      </w:r>
      <w:proofErr w:type="spellEnd"/>
      <w:r w:rsidRPr="0081083D">
        <w:rPr>
          <w:rFonts w:cs="Arial"/>
          <w:b/>
        </w:rPr>
        <w:t xml:space="preserve"> </w:t>
      </w:r>
      <w:proofErr w:type="spellStart"/>
      <w:r w:rsidRPr="0081083D">
        <w:rPr>
          <w:rFonts w:cs="Arial"/>
          <w:b/>
        </w:rPr>
        <w:t>redukcyjna</w:t>
      </w:r>
      <w:proofErr w:type="spellEnd"/>
      <w:r w:rsidRPr="0081083D">
        <w:rPr>
          <w:rFonts w:cs="Arial"/>
          <w:b/>
        </w:rPr>
        <w:t>/</w:t>
      </w:r>
      <w:proofErr w:type="spellStart"/>
      <w:r w:rsidRPr="0081083D">
        <w:rPr>
          <w:rFonts w:cs="Arial"/>
          <w:b/>
        </w:rPr>
        <w:t>udział</w:t>
      </w:r>
      <w:proofErr w:type="spellEnd"/>
      <w:r w:rsidRPr="0081083D">
        <w:rPr>
          <w:rFonts w:cs="Arial"/>
          <w:b/>
        </w:rPr>
        <w:t xml:space="preserve"> </w:t>
      </w:r>
      <w:proofErr w:type="spellStart"/>
      <w:r w:rsidRPr="0081083D">
        <w:rPr>
          <w:rFonts w:cs="Arial"/>
          <w:b/>
        </w:rPr>
        <w:t>własny</w:t>
      </w:r>
      <w:proofErr w:type="spellEnd"/>
    </w:p>
    <w:p w14:paraId="54AA8546" w14:textId="77777777" w:rsidR="00840555" w:rsidRPr="0081083D" w:rsidRDefault="00840555" w:rsidP="00840555">
      <w:pPr>
        <w:spacing w:after="0" w:line="240" w:lineRule="auto"/>
        <w:jc w:val="both"/>
        <w:rPr>
          <w:rFonts w:cs="Arial"/>
        </w:rPr>
      </w:pPr>
      <w:r w:rsidRPr="0081083D">
        <w:rPr>
          <w:rFonts w:cs="Arial"/>
        </w:rPr>
        <w:t>500 zł – szkody w wyniku kradzieży z włamaniem i rabunku (nie dotyczy mienia pracowniczego)</w:t>
      </w:r>
    </w:p>
    <w:p w14:paraId="2CC7BA1A" w14:textId="77777777" w:rsidR="00840555" w:rsidRPr="0081083D" w:rsidRDefault="00840555" w:rsidP="00840555">
      <w:pPr>
        <w:spacing w:after="0" w:line="240" w:lineRule="auto"/>
        <w:jc w:val="both"/>
        <w:rPr>
          <w:rFonts w:cs="Arial"/>
        </w:rPr>
      </w:pPr>
      <w:r w:rsidRPr="0081083D">
        <w:rPr>
          <w:rFonts w:cs="Arial"/>
        </w:rPr>
        <w:t>1 000 zł – pozostałe szkody (nie dotyczy mienia pracowniczego i telefonów komórkowych)</w:t>
      </w:r>
    </w:p>
    <w:p w14:paraId="053B51F6" w14:textId="77777777" w:rsidR="00840555" w:rsidRPr="0081083D" w:rsidRDefault="00840555" w:rsidP="00840555">
      <w:pPr>
        <w:spacing w:line="276" w:lineRule="auto"/>
        <w:jc w:val="both"/>
        <w:rPr>
          <w:rFonts w:cs="Arial"/>
        </w:rPr>
      </w:pPr>
    </w:p>
    <w:p w14:paraId="4FC40E07" w14:textId="77777777" w:rsidR="00840555" w:rsidRPr="00840555" w:rsidRDefault="00840555" w:rsidP="00840555">
      <w:pPr>
        <w:pStyle w:val="Akapitzlist"/>
        <w:numPr>
          <w:ilvl w:val="0"/>
          <w:numId w:val="7"/>
        </w:numPr>
        <w:spacing w:after="160" w:line="276" w:lineRule="auto"/>
        <w:jc w:val="both"/>
        <w:rPr>
          <w:rFonts w:cs="Arial"/>
          <w:lang w:val="pl-PL"/>
        </w:rPr>
      </w:pPr>
      <w:r w:rsidRPr="00840555">
        <w:rPr>
          <w:rFonts w:cs="Arial"/>
          <w:b/>
          <w:lang w:val="pl-PL"/>
        </w:rPr>
        <w:t>Koszty naprawy w ryzykach kradzieży z włamaniem i rabunku</w:t>
      </w:r>
    </w:p>
    <w:p w14:paraId="2F5AFD35" w14:textId="77777777" w:rsidR="00840555" w:rsidRPr="0081083D" w:rsidRDefault="00840555" w:rsidP="00840555">
      <w:pPr>
        <w:spacing w:line="276" w:lineRule="auto"/>
        <w:jc w:val="both"/>
        <w:rPr>
          <w:rFonts w:cs="Arial"/>
        </w:rPr>
      </w:pPr>
      <w:r w:rsidRPr="0081083D">
        <w:rPr>
          <w:rFonts w:cs="Arial"/>
        </w:rPr>
        <w:t>Odszkodowanie jest automatycznie powiększane o koszty naprawy wszelkich elementów zabezpieczających (np.: ścian, podłóg, stropów, drzwi, zamkó</w:t>
      </w:r>
      <w:r>
        <w:rPr>
          <w:rFonts w:cs="Arial"/>
        </w:rPr>
        <w:t xml:space="preserve">w, systemów alarmowych, framug, </w:t>
      </w:r>
      <w:r w:rsidRPr="0081083D">
        <w:rPr>
          <w:rFonts w:cs="Arial"/>
        </w:rPr>
        <w:t xml:space="preserve">futryn, okien, szyb, krat, skrzynek energetycznych, wszelkich instalacji itp.), koszty dorobienia kluczy (w tym elektronicznych, magnetycznych itp.), kart dostępu, pilotów, koszty naprawy sejfów, schowków </w:t>
      </w:r>
      <w:r>
        <w:rPr>
          <w:rFonts w:cs="Arial"/>
        </w:rPr>
        <w:br/>
      </w:r>
      <w:r w:rsidRPr="0081083D">
        <w:rPr>
          <w:rFonts w:cs="Arial"/>
        </w:rPr>
        <w:t>na gotówkę. Limit 50 000 zł na jedno i wszystkie zdarzenia w okresie ubezpieczenia.</w:t>
      </w:r>
    </w:p>
    <w:p w14:paraId="50B0ABDA" w14:textId="77777777" w:rsidR="00840555" w:rsidRPr="0081083D" w:rsidRDefault="00840555" w:rsidP="00840555">
      <w:pPr>
        <w:spacing w:line="276" w:lineRule="auto"/>
        <w:jc w:val="both"/>
        <w:rPr>
          <w:rFonts w:cs="Arial"/>
          <w:b/>
        </w:rPr>
      </w:pPr>
    </w:p>
    <w:p w14:paraId="24BD9C9E" w14:textId="77777777" w:rsidR="00840555" w:rsidRPr="0081083D" w:rsidRDefault="00840555" w:rsidP="00840555">
      <w:pPr>
        <w:pStyle w:val="Akapitzlist"/>
        <w:numPr>
          <w:ilvl w:val="0"/>
          <w:numId w:val="7"/>
        </w:numPr>
        <w:spacing w:after="160" w:line="276" w:lineRule="auto"/>
        <w:jc w:val="both"/>
        <w:rPr>
          <w:rFonts w:cs="Arial"/>
          <w:b/>
        </w:rPr>
      </w:pPr>
      <w:proofErr w:type="spellStart"/>
      <w:r w:rsidRPr="0081083D">
        <w:rPr>
          <w:rFonts w:cs="Arial"/>
          <w:b/>
        </w:rPr>
        <w:t>Przechowywanie</w:t>
      </w:r>
      <w:proofErr w:type="spellEnd"/>
      <w:r w:rsidRPr="0081083D">
        <w:rPr>
          <w:rFonts w:cs="Arial"/>
          <w:b/>
        </w:rPr>
        <w:t xml:space="preserve"> </w:t>
      </w:r>
      <w:proofErr w:type="spellStart"/>
      <w:r w:rsidRPr="0081083D">
        <w:rPr>
          <w:rFonts w:cs="Arial"/>
          <w:b/>
        </w:rPr>
        <w:t>gotówki</w:t>
      </w:r>
      <w:proofErr w:type="spellEnd"/>
    </w:p>
    <w:p w14:paraId="192E2BBF" w14:textId="003F3648" w:rsidR="00840555" w:rsidRPr="0081083D" w:rsidRDefault="00840555" w:rsidP="00840555">
      <w:pPr>
        <w:spacing w:line="276" w:lineRule="auto"/>
        <w:jc w:val="both"/>
        <w:rPr>
          <w:rFonts w:cs="Arial"/>
        </w:rPr>
      </w:pPr>
      <w:r w:rsidRPr="0081083D">
        <w:rPr>
          <w:rFonts w:cs="Arial"/>
        </w:rPr>
        <w:t xml:space="preserve">Zgodnie z </w:t>
      </w:r>
      <w:r w:rsidRPr="0081083D">
        <w:rPr>
          <w:rFonts w:cs="Arial"/>
          <w:lang w:eastAsia="pl-PL"/>
        </w:rPr>
        <w:t xml:space="preserve">wymogami określonymi w Rozporządzeniu Ministra Spraw Wewnętrznych i Administracji </w:t>
      </w:r>
      <w:r>
        <w:rPr>
          <w:rFonts w:cs="Arial"/>
          <w:lang w:eastAsia="pl-PL"/>
        </w:rPr>
        <w:br/>
      </w:r>
      <w:r w:rsidRPr="0081083D">
        <w:rPr>
          <w:rFonts w:cs="Arial"/>
          <w:lang w:eastAsia="pl-PL"/>
        </w:rPr>
        <w:t xml:space="preserve">z dnia 7 września 2010 r. w sprawie wymagań, jakim powinna odpowiadać ochrona wartości pieniężnych przechowywanych i transportowanych przez przedsiębiorców i inne jednostki organizacyjne </w:t>
      </w:r>
      <w:r w:rsidR="00185F32" w:rsidRPr="00185F32">
        <w:rPr>
          <w:rFonts w:cs="Arial"/>
          <w:lang w:eastAsia="pl-PL"/>
        </w:rPr>
        <w:t>(</w:t>
      </w:r>
      <w:proofErr w:type="spellStart"/>
      <w:r w:rsidR="00185F32" w:rsidRPr="00185F32">
        <w:rPr>
          <w:rFonts w:cs="Arial"/>
          <w:lang w:eastAsia="pl-PL"/>
        </w:rPr>
        <w:t>t.j</w:t>
      </w:r>
      <w:proofErr w:type="spellEnd"/>
      <w:r w:rsidR="00185F32" w:rsidRPr="00185F32">
        <w:rPr>
          <w:rFonts w:cs="Arial"/>
          <w:lang w:eastAsia="pl-PL"/>
        </w:rPr>
        <w:t xml:space="preserve">. Dz. U. z 2016 r. poz. 793 z </w:t>
      </w:r>
      <w:proofErr w:type="spellStart"/>
      <w:r w:rsidR="00185F32" w:rsidRPr="00185F32">
        <w:rPr>
          <w:rFonts w:cs="Arial"/>
          <w:lang w:eastAsia="pl-PL"/>
        </w:rPr>
        <w:t>późn</w:t>
      </w:r>
      <w:proofErr w:type="spellEnd"/>
      <w:r w:rsidR="00185F32" w:rsidRPr="00185F32">
        <w:rPr>
          <w:rFonts w:cs="Arial"/>
          <w:lang w:eastAsia="pl-PL"/>
        </w:rPr>
        <w:t>. zm.).</w:t>
      </w:r>
      <w:r w:rsidR="00185F32" w:rsidRPr="00185F32" w:rsidDel="00185F32">
        <w:rPr>
          <w:rFonts w:cs="Arial"/>
          <w:lang w:eastAsia="pl-PL"/>
        </w:rPr>
        <w:t xml:space="preserve"> </w:t>
      </w:r>
    </w:p>
    <w:p w14:paraId="1B5109C4" w14:textId="77777777" w:rsidR="00840555" w:rsidRPr="0081083D" w:rsidRDefault="00840555" w:rsidP="00840555">
      <w:pPr>
        <w:spacing w:line="276" w:lineRule="auto"/>
        <w:jc w:val="both"/>
        <w:rPr>
          <w:rFonts w:cs="Arial"/>
        </w:rPr>
      </w:pPr>
    </w:p>
    <w:p w14:paraId="0EF073B5" w14:textId="77777777" w:rsidR="00840555" w:rsidRPr="00840555" w:rsidRDefault="00840555" w:rsidP="00840555">
      <w:pPr>
        <w:pStyle w:val="Akapitzlist"/>
        <w:numPr>
          <w:ilvl w:val="0"/>
          <w:numId w:val="7"/>
        </w:numPr>
        <w:spacing w:after="160" w:line="276" w:lineRule="auto"/>
        <w:jc w:val="both"/>
        <w:rPr>
          <w:rFonts w:cs="Arial"/>
          <w:b/>
          <w:lang w:val="pl-PL"/>
        </w:rPr>
      </w:pPr>
      <w:r w:rsidRPr="00840555">
        <w:rPr>
          <w:rFonts w:cs="Arial"/>
          <w:b/>
          <w:lang w:val="pl-PL"/>
        </w:rPr>
        <w:t>Tymczasowe magazynowanie i ochrona od daty dostawy, telefony komórkowe</w:t>
      </w:r>
    </w:p>
    <w:p w14:paraId="39938F84" w14:textId="77777777" w:rsidR="00840555" w:rsidRPr="0081083D" w:rsidRDefault="00840555" w:rsidP="00840555">
      <w:pPr>
        <w:spacing w:after="0" w:line="240" w:lineRule="auto"/>
      </w:pPr>
      <w:r w:rsidRPr="0081083D">
        <w:t>Ochronę ubezpieczeniową rozszerza się na:</w:t>
      </w:r>
    </w:p>
    <w:p w14:paraId="6CF58D99" w14:textId="77777777" w:rsidR="00840555" w:rsidRPr="00840555" w:rsidRDefault="00840555" w:rsidP="00840555">
      <w:pPr>
        <w:pStyle w:val="Akapitzlist"/>
        <w:numPr>
          <w:ilvl w:val="0"/>
          <w:numId w:val="12"/>
        </w:numPr>
        <w:ind w:left="714" w:hanging="357"/>
        <w:contextualSpacing w:val="0"/>
        <w:rPr>
          <w:lang w:val="pl-PL"/>
        </w:rPr>
      </w:pPr>
      <w:r w:rsidRPr="00840555">
        <w:rPr>
          <w:lang w:val="pl-PL"/>
        </w:rPr>
        <w:t>ubezpieczone mienie tymczasowo magazynowane lub okresowo wyłączone z użytkowania,</w:t>
      </w:r>
    </w:p>
    <w:p w14:paraId="23460DD6" w14:textId="77777777" w:rsidR="00840555" w:rsidRPr="00840555" w:rsidRDefault="00840555" w:rsidP="00840555">
      <w:pPr>
        <w:pStyle w:val="Akapitzlist"/>
        <w:numPr>
          <w:ilvl w:val="0"/>
          <w:numId w:val="12"/>
        </w:numPr>
        <w:ind w:left="714" w:hanging="357"/>
        <w:contextualSpacing w:val="0"/>
        <w:rPr>
          <w:lang w:val="pl-PL"/>
        </w:rPr>
      </w:pPr>
      <w:r w:rsidRPr="00840555">
        <w:rPr>
          <w:lang w:val="pl-PL"/>
        </w:rPr>
        <w:t>ubezpieczone mienie na czas od daty dostawy do daty włączenia do eksploatacji,</w:t>
      </w:r>
    </w:p>
    <w:p w14:paraId="518D89E8" w14:textId="77777777" w:rsidR="00840555" w:rsidRPr="0081083D" w:rsidRDefault="00840555" w:rsidP="00840555">
      <w:pPr>
        <w:pStyle w:val="Akapitzlist"/>
        <w:numPr>
          <w:ilvl w:val="0"/>
          <w:numId w:val="12"/>
        </w:numPr>
        <w:ind w:left="714" w:hanging="357"/>
        <w:contextualSpacing w:val="0"/>
      </w:pPr>
      <w:proofErr w:type="spellStart"/>
      <w:r w:rsidRPr="0081083D">
        <w:t>telefony</w:t>
      </w:r>
      <w:proofErr w:type="spellEnd"/>
      <w:r w:rsidRPr="0081083D">
        <w:t xml:space="preserve"> </w:t>
      </w:r>
      <w:proofErr w:type="spellStart"/>
      <w:r w:rsidRPr="0081083D">
        <w:t>komórkowe</w:t>
      </w:r>
      <w:proofErr w:type="spellEnd"/>
      <w:r w:rsidRPr="0081083D">
        <w:t>.</w:t>
      </w:r>
    </w:p>
    <w:p w14:paraId="3DF067D7" w14:textId="77777777" w:rsidR="00840555" w:rsidRPr="0081083D" w:rsidRDefault="00840555" w:rsidP="00840555">
      <w:pPr>
        <w:spacing w:line="276" w:lineRule="auto"/>
        <w:jc w:val="both"/>
        <w:rPr>
          <w:rFonts w:cs="Arial"/>
        </w:rPr>
      </w:pPr>
    </w:p>
    <w:p w14:paraId="4ACC85C9" w14:textId="77777777" w:rsidR="00840555" w:rsidRPr="0081083D" w:rsidRDefault="00840555" w:rsidP="00840555">
      <w:pPr>
        <w:pStyle w:val="Akapitzlist"/>
        <w:numPr>
          <w:ilvl w:val="0"/>
          <w:numId w:val="7"/>
        </w:numPr>
        <w:spacing w:after="160" w:line="276" w:lineRule="auto"/>
        <w:jc w:val="both"/>
        <w:rPr>
          <w:rFonts w:cs="Arial"/>
          <w:b/>
        </w:rPr>
      </w:pPr>
      <w:proofErr w:type="spellStart"/>
      <w:r w:rsidRPr="0081083D">
        <w:rPr>
          <w:rFonts w:cs="Arial"/>
          <w:b/>
        </w:rPr>
        <w:t>Definicje</w:t>
      </w:r>
      <w:proofErr w:type="spellEnd"/>
    </w:p>
    <w:p w14:paraId="23355254" w14:textId="77777777" w:rsidR="00840555" w:rsidRPr="0081083D" w:rsidRDefault="00840555" w:rsidP="00840555">
      <w:pPr>
        <w:spacing w:after="0" w:line="240" w:lineRule="auto"/>
        <w:jc w:val="both"/>
        <w:rPr>
          <w:rFonts w:cs="Arial"/>
        </w:rPr>
      </w:pPr>
      <w:r w:rsidRPr="0081083D">
        <w:rPr>
          <w:rFonts w:cs="Arial"/>
          <w:b/>
        </w:rPr>
        <w:t>Zalanie</w:t>
      </w:r>
      <w:r w:rsidRPr="0081083D">
        <w:rPr>
          <w:rFonts w:cs="Arial"/>
        </w:rPr>
        <w:t xml:space="preserve"> – szkody powstałe w wyniku:</w:t>
      </w:r>
    </w:p>
    <w:p w14:paraId="4FA41FFB" w14:textId="77777777" w:rsidR="00840555" w:rsidRPr="0081083D" w:rsidRDefault="00840555" w:rsidP="00840555">
      <w:pPr>
        <w:numPr>
          <w:ilvl w:val="0"/>
          <w:numId w:val="8"/>
        </w:numPr>
        <w:spacing w:after="0" w:line="240" w:lineRule="auto"/>
        <w:jc w:val="both"/>
        <w:rPr>
          <w:rFonts w:cs="Arial"/>
        </w:rPr>
      </w:pPr>
      <w:r w:rsidRPr="0081083D">
        <w:rPr>
          <w:rFonts w:cs="Arial"/>
        </w:rPr>
        <w:lastRenderedPageBreak/>
        <w:t>wydostania się wody z urządzeń AGD,</w:t>
      </w:r>
    </w:p>
    <w:p w14:paraId="666BB440" w14:textId="77777777" w:rsidR="00840555" w:rsidRPr="0081083D" w:rsidRDefault="00840555" w:rsidP="00840555">
      <w:pPr>
        <w:numPr>
          <w:ilvl w:val="0"/>
          <w:numId w:val="8"/>
        </w:numPr>
        <w:spacing w:after="0" w:line="240" w:lineRule="auto"/>
        <w:jc w:val="both"/>
        <w:rPr>
          <w:rFonts w:cs="Arial"/>
        </w:rPr>
      </w:pPr>
      <w:r w:rsidRPr="0081083D">
        <w:rPr>
          <w:rFonts w:cs="Arial"/>
        </w:rPr>
        <w:t>zalania wodą lub inną cieczą przez osoby trzecie, w tym podczas akcji gaśniczej,</w:t>
      </w:r>
    </w:p>
    <w:p w14:paraId="4CEEF3CF" w14:textId="77777777" w:rsidR="00840555" w:rsidRPr="0081083D" w:rsidRDefault="00840555" w:rsidP="00840555">
      <w:pPr>
        <w:numPr>
          <w:ilvl w:val="0"/>
          <w:numId w:val="8"/>
        </w:numPr>
        <w:spacing w:after="0" w:line="240" w:lineRule="auto"/>
        <w:jc w:val="both"/>
        <w:rPr>
          <w:rFonts w:cs="Arial"/>
        </w:rPr>
      </w:pPr>
      <w:r w:rsidRPr="0081083D">
        <w:rPr>
          <w:rFonts w:cs="Arial"/>
        </w:rPr>
        <w:t>zalania wodą z akwarium,</w:t>
      </w:r>
    </w:p>
    <w:p w14:paraId="060C3002" w14:textId="77777777" w:rsidR="00840555" w:rsidRPr="0081083D" w:rsidRDefault="00840555" w:rsidP="00840555">
      <w:pPr>
        <w:numPr>
          <w:ilvl w:val="0"/>
          <w:numId w:val="8"/>
        </w:numPr>
        <w:spacing w:after="0" w:line="240" w:lineRule="auto"/>
        <w:jc w:val="both"/>
        <w:rPr>
          <w:rFonts w:cs="Arial"/>
        </w:rPr>
      </w:pPr>
      <w:r w:rsidRPr="0081083D">
        <w:rPr>
          <w:rFonts w:cs="Arial"/>
        </w:rPr>
        <w:t>użycia wody lub innych cieczy do mycia, czyszczenia lub innego podobnego działania,</w:t>
      </w:r>
    </w:p>
    <w:p w14:paraId="1C9A6E1B" w14:textId="77777777" w:rsidR="00840555" w:rsidRPr="0081083D" w:rsidRDefault="00840555" w:rsidP="00840555">
      <w:pPr>
        <w:numPr>
          <w:ilvl w:val="0"/>
          <w:numId w:val="8"/>
        </w:numPr>
        <w:spacing w:after="0" w:line="240" w:lineRule="auto"/>
        <w:jc w:val="both"/>
        <w:rPr>
          <w:rFonts w:cs="Arial"/>
        </w:rPr>
      </w:pPr>
      <w:r w:rsidRPr="0081083D">
        <w:rPr>
          <w:rFonts w:cs="Arial"/>
        </w:rPr>
        <w:t>topnienia mas śniegu, lodu, gradu lub opadów deszczu,</w:t>
      </w:r>
    </w:p>
    <w:p w14:paraId="6B7ED02E" w14:textId="77777777" w:rsidR="00840555" w:rsidRPr="0081083D" w:rsidRDefault="00840555" w:rsidP="00840555">
      <w:pPr>
        <w:numPr>
          <w:ilvl w:val="0"/>
          <w:numId w:val="8"/>
        </w:numPr>
        <w:spacing w:after="0" w:line="240" w:lineRule="auto"/>
        <w:jc w:val="both"/>
        <w:rPr>
          <w:rFonts w:cs="Arial"/>
        </w:rPr>
      </w:pPr>
      <w:r w:rsidRPr="0081083D">
        <w:rPr>
          <w:rFonts w:cs="Arial"/>
        </w:rPr>
        <w:t>samoczynnego rozszczelnienia się zbiorników.</w:t>
      </w:r>
    </w:p>
    <w:p w14:paraId="7B0574C3" w14:textId="77777777" w:rsidR="00840555" w:rsidRPr="0081083D" w:rsidRDefault="00840555" w:rsidP="00840555">
      <w:pPr>
        <w:spacing w:line="240" w:lineRule="auto"/>
        <w:jc w:val="both"/>
        <w:rPr>
          <w:rFonts w:cs="Arial"/>
        </w:rPr>
      </w:pPr>
    </w:p>
    <w:p w14:paraId="1B5D4704" w14:textId="77777777" w:rsidR="00840555" w:rsidRPr="0081083D" w:rsidRDefault="00840555" w:rsidP="00840555">
      <w:pPr>
        <w:spacing w:line="240" w:lineRule="auto"/>
        <w:jc w:val="both"/>
        <w:rPr>
          <w:rFonts w:cs="Arial"/>
        </w:rPr>
      </w:pPr>
      <w:r w:rsidRPr="0081083D">
        <w:rPr>
          <w:rFonts w:cs="Arial"/>
          <w:b/>
        </w:rPr>
        <w:t>Szkody wodociągowe</w:t>
      </w:r>
      <w:r w:rsidRPr="0081083D">
        <w:rPr>
          <w:rFonts w:cs="Arial"/>
        </w:rPr>
        <w:t xml:space="preserve"> – szkody powstałe w wyniku wydostania się wody, par, cieczy lub innych substancji na skutek:</w:t>
      </w:r>
    </w:p>
    <w:p w14:paraId="647A26C3" w14:textId="77777777" w:rsidR="00840555" w:rsidRPr="0081083D" w:rsidRDefault="00840555" w:rsidP="00840555">
      <w:pPr>
        <w:numPr>
          <w:ilvl w:val="0"/>
          <w:numId w:val="9"/>
        </w:numPr>
        <w:spacing w:after="0" w:line="240" w:lineRule="auto"/>
        <w:jc w:val="both"/>
        <w:rPr>
          <w:rFonts w:cs="Arial"/>
        </w:rPr>
      </w:pPr>
      <w:r w:rsidRPr="0081083D">
        <w:rPr>
          <w:rFonts w:cs="Arial"/>
        </w:rPr>
        <w:t>awarii przewodów, zbiorników, urządzeń lub instalacji wodno-kanalizacyjnych, wodociągowych, grzewczych, technologicznych, itp. (w tym na skutek ich zamarznięcia bądź rozsadzenia), zarówno wewnętrznych jak i zewnętrznych,</w:t>
      </w:r>
    </w:p>
    <w:p w14:paraId="3D2DFD87" w14:textId="77777777" w:rsidR="00840555" w:rsidRPr="0081083D" w:rsidRDefault="00840555" w:rsidP="00840555">
      <w:pPr>
        <w:numPr>
          <w:ilvl w:val="0"/>
          <w:numId w:val="9"/>
        </w:numPr>
        <w:spacing w:after="0" w:line="240" w:lineRule="auto"/>
        <w:jc w:val="both"/>
        <w:rPr>
          <w:rFonts w:cs="Arial"/>
        </w:rPr>
      </w:pPr>
      <w:r w:rsidRPr="0081083D">
        <w:rPr>
          <w:rFonts w:cs="Arial"/>
        </w:rPr>
        <w:t>wydostania się lub cofnięcia wody lub ścieków z sieci wodociągowej lub kanalizacyjnej publicznej lub własnej,</w:t>
      </w:r>
    </w:p>
    <w:p w14:paraId="2863F318" w14:textId="77777777" w:rsidR="00840555" w:rsidRPr="0081083D" w:rsidRDefault="00840555" w:rsidP="00840555">
      <w:pPr>
        <w:numPr>
          <w:ilvl w:val="0"/>
          <w:numId w:val="9"/>
        </w:numPr>
        <w:spacing w:after="0" w:line="240" w:lineRule="auto"/>
        <w:jc w:val="both"/>
        <w:rPr>
          <w:rFonts w:cs="Arial"/>
        </w:rPr>
      </w:pPr>
      <w:r w:rsidRPr="0081083D">
        <w:rPr>
          <w:rFonts w:cs="Arial"/>
        </w:rPr>
        <w:t>pozostawienia otwartych kranów lub zaworów,</w:t>
      </w:r>
    </w:p>
    <w:p w14:paraId="1D71AB66" w14:textId="77777777" w:rsidR="00840555" w:rsidRPr="0081083D" w:rsidRDefault="00840555" w:rsidP="00840555">
      <w:pPr>
        <w:numPr>
          <w:ilvl w:val="0"/>
          <w:numId w:val="9"/>
        </w:numPr>
        <w:spacing w:after="0" w:line="240" w:lineRule="auto"/>
        <w:ind w:left="714" w:hanging="357"/>
        <w:jc w:val="both"/>
        <w:rPr>
          <w:rFonts w:cs="Arial"/>
        </w:rPr>
      </w:pPr>
      <w:r w:rsidRPr="0081083D">
        <w:rPr>
          <w:rFonts w:cs="Arial"/>
        </w:rPr>
        <w:t xml:space="preserve">wydostania się środka gaśniczego lub innego w wyniku samoczynnego otwarcia się urządzeń lub instalacji tryskaczowych, </w:t>
      </w:r>
      <w:proofErr w:type="spellStart"/>
      <w:r w:rsidRPr="0081083D">
        <w:rPr>
          <w:rFonts w:cs="Arial"/>
        </w:rPr>
        <w:t>zraszaczowych</w:t>
      </w:r>
      <w:proofErr w:type="spellEnd"/>
      <w:r w:rsidRPr="0081083D">
        <w:rPr>
          <w:rFonts w:cs="Arial"/>
        </w:rPr>
        <w:t>, gaśniczych itp. (w tym na skutek prób, napraw, przebudowy, modernizacji instalacji lub remontu budynku).</w:t>
      </w:r>
    </w:p>
    <w:p w14:paraId="690BBB83" w14:textId="77777777" w:rsidR="00840555" w:rsidRDefault="00840555" w:rsidP="00840555">
      <w:pPr>
        <w:spacing w:line="276" w:lineRule="auto"/>
        <w:jc w:val="both"/>
        <w:rPr>
          <w:rFonts w:cs="Arial"/>
        </w:rPr>
      </w:pPr>
    </w:p>
    <w:p w14:paraId="022573F3" w14:textId="77777777" w:rsidR="00840555" w:rsidRPr="00235362" w:rsidRDefault="00840555" w:rsidP="00840555">
      <w:pPr>
        <w:pStyle w:val="Akapitzlist"/>
        <w:numPr>
          <w:ilvl w:val="0"/>
          <w:numId w:val="7"/>
        </w:numPr>
        <w:spacing w:after="160"/>
        <w:jc w:val="both"/>
        <w:rPr>
          <w:rFonts w:cs="Arial"/>
          <w:b/>
        </w:rPr>
      </w:pPr>
      <w:proofErr w:type="spellStart"/>
      <w:r w:rsidRPr="00235362">
        <w:rPr>
          <w:rFonts w:cs="Arial"/>
          <w:b/>
        </w:rPr>
        <w:t>Postanowienia</w:t>
      </w:r>
      <w:proofErr w:type="spellEnd"/>
      <w:r w:rsidRPr="00235362">
        <w:rPr>
          <w:rFonts w:cs="Arial"/>
          <w:b/>
        </w:rPr>
        <w:t xml:space="preserve"> </w:t>
      </w:r>
      <w:proofErr w:type="spellStart"/>
      <w:r w:rsidRPr="00235362">
        <w:rPr>
          <w:rFonts w:cs="Arial"/>
          <w:b/>
        </w:rPr>
        <w:t>dotyczące</w:t>
      </w:r>
      <w:proofErr w:type="spellEnd"/>
      <w:r w:rsidRPr="00235362">
        <w:rPr>
          <w:rFonts w:cs="Arial"/>
          <w:b/>
        </w:rPr>
        <w:t xml:space="preserve"> </w:t>
      </w:r>
      <w:proofErr w:type="spellStart"/>
      <w:r w:rsidRPr="00235362">
        <w:rPr>
          <w:rFonts w:cs="Arial"/>
          <w:b/>
        </w:rPr>
        <w:t>urządzeń</w:t>
      </w:r>
      <w:proofErr w:type="spellEnd"/>
      <w:r w:rsidRPr="00235362">
        <w:rPr>
          <w:rFonts w:cs="Arial"/>
          <w:b/>
        </w:rPr>
        <w:t xml:space="preserve"> </w:t>
      </w:r>
      <w:proofErr w:type="spellStart"/>
      <w:r w:rsidRPr="00235362">
        <w:rPr>
          <w:rFonts w:cs="Arial"/>
          <w:b/>
        </w:rPr>
        <w:t>klimatyzacyjnych</w:t>
      </w:r>
      <w:proofErr w:type="spellEnd"/>
    </w:p>
    <w:p w14:paraId="71DDDF35" w14:textId="77777777" w:rsidR="00840555" w:rsidRDefault="00840555" w:rsidP="00840555">
      <w:pPr>
        <w:spacing w:line="240" w:lineRule="auto"/>
        <w:jc w:val="both"/>
        <w:rPr>
          <w:rFonts w:cs="Arial"/>
        </w:rPr>
      </w:pPr>
      <w:r w:rsidRPr="0081083D">
        <w:rPr>
          <w:rFonts w:cs="Arial"/>
        </w:rPr>
        <w:t>Znosi się zapisy dotyczące urządzeń klimatyzacyjnych.</w:t>
      </w:r>
    </w:p>
    <w:p w14:paraId="67C8DB5B" w14:textId="77777777" w:rsidR="00840555" w:rsidRPr="0081083D" w:rsidRDefault="00840555" w:rsidP="00840555">
      <w:pPr>
        <w:spacing w:line="240" w:lineRule="auto"/>
        <w:jc w:val="both"/>
        <w:rPr>
          <w:rFonts w:cs="Arial"/>
        </w:rPr>
      </w:pPr>
    </w:p>
    <w:p w14:paraId="626F67B7" w14:textId="77777777" w:rsidR="00840555" w:rsidRPr="0081083D" w:rsidRDefault="00840555" w:rsidP="00840555">
      <w:pPr>
        <w:spacing w:line="276" w:lineRule="auto"/>
        <w:jc w:val="both"/>
        <w:rPr>
          <w:rFonts w:cs="Arial"/>
        </w:rPr>
      </w:pPr>
    </w:p>
    <w:p w14:paraId="66EAB3B7" w14:textId="77777777" w:rsidR="00840555" w:rsidRPr="0081083D" w:rsidRDefault="00840555" w:rsidP="00840555">
      <w:pPr>
        <w:pStyle w:val="Akapitzlist"/>
        <w:numPr>
          <w:ilvl w:val="0"/>
          <w:numId w:val="7"/>
        </w:numPr>
        <w:spacing w:after="160" w:line="276" w:lineRule="auto"/>
        <w:jc w:val="both"/>
        <w:rPr>
          <w:b/>
        </w:rPr>
      </w:pPr>
      <w:proofErr w:type="spellStart"/>
      <w:r w:rsidRPr="0081083D">
        <w:rPr>
          <w:b/>
        </w:rPr>
        <w:t>Klauzule</w:t>
      </w:r>
      <w:proofErr w:type="spellEnd"/>
      <w:r w:rsidRPr="0081083D">
        <w:rPr>
          <w:b/>
        </w:rPr>
        <w:t xml:space="preserve"> </w:t>
      </w:r>
      <w:proofErr w:type="spellStart"/>
      <w:r w:rsidRPr="0081083D">
        <w:rPr>
          <w:b/>
        </w:rPr>
        <w:t>dodatkowe</w:t>
      </w:r>
      <w:proofErr w:type="spellEnd"/>
    </w:p>
    <w:p w14:paraId="54FD6452" w14:textId="77777777" w:rsidR="00840555" w:rsidRPr="0081083D" w:rsidRDefault="00840555" w:rsidP="00840555">
      <w:pPr>
        <w:spacing w:line="240" w:lineRule="auto"/>
        <w:jc w:val="both"/>
        <w:rPr>
          <w:rFonts w:cs="Arial"/>
        </w:rPr>
      </w:pPr>
      <w:r w:rsidRPr="0081083D">
        <w:rPr>
          <w:rFonts w:cs="Arial"/>
          <w:b/>
        </w:rPr>
        <w:t>(1) Klauzula lokalizacji</w:t>
      </w:r>
      <w:r w:rsidRPr="0081083D">
        <w:rPr>
          <w:rFonts w:cs="Arial"/>
        </w:rPr>
        <w:t xml:space="preserve"> – ochronę ubezpieczeniową rozszerza się na wszystkie lokalizacje należące </w:t>
      </w:r>
      <w:r w:rsidRPr="0081083D">
        <w:rPr>
          <w:rFonts w:cs="Arial"/>
        </w:rPr>
        <w:br/>
        <w:t>do ubezpieczającego, będące pod jego kontrolą lub związane z prowadzeniem działalności niezależnie od tego, czy dana lokalizacja została zgłoszona do ubezpieczenia. Zakres terytorialny ograniczony jest do terytorium RP.</w:t>
      </w:r>
    </w:p>
    <w:p w14:paraId="17FE8CC3" w14:textId="77777777" w:rsidR="00840555" w:rsidRPr="0081083D" w:rsidRDefault="00840555" w:rsidP="00840555">
      <w:pPr>
        <w:spacing w:line="240" w:lineRule="auto"/>
        <w:jc w:val="both"/>
        <w:rPr>
          <w:rFonts w:cs="Arial"/>
        </w:rPr>
      </w:pPr>
      <w:r w:rsidRPr="0081083D">
        <w:rPr>
          <w:rFonts w:cs="Arial"/>
          <w:b/>
        </w:rPr>
        <w:t>(2) Klauzula wzrostu ryzyka</w:t>
      </w:r>
      <w:r w:rsidRPr="0081083D">
        <w:rPr>
          <w:rFonts w:cs="Arial"/>
        </w:rPr>
        <w:t xml:space="preserve"> – wzrost ryzyka nie narusza ochrony ubezpieczeniowej, ale musi zostać zgłoszony. Ubezpieczyciel może powoływać się na naruszenie obowiązku zgłoszenia tylko wówczas, jeżeli naruszenie było umyślne lub spowodowane rażącym niedbalstwem. Pracownik ubezpieczającego, odpowiedzialny za ubezpieczenie ma obowiązek zgłosić wzrost ryzyka w ciągu </w:t>
      </w:r>
      <w:r>
        <w:rPr>
          <w:rFonts w:cs="Arial"/>
        </w:rPr>
        <w:br/>
      </w:r>
      <w:r w:rsidRPr="0081083D">
        <w:rPr>
          <w:rFonts w:cs="Arial"/>
        </w:rPr>
        <w:t>14 dni od powzięcia informacji o tym fakcie.</w:t>
      </w:r>
    </w:p>
    <w:p w14:paraId="1B6AC8B1" w14:textId="77777777" w:rsidR="00840555" w:rsidRPr="0081083D" w:rsidRDefault="00840555" w:rsidP="00840555">
      <w:pPr>
        <w:spacing w:line="240" w:lineRule="auto"/>
        <w:jc w:val="both"/>
        <w:rPr>
          <w:rFonts w:cs="Arial"/>
        </w:rPr>
      </w:pPr>
      <w:r w:rsidRPr="0081083D">
        <w:rPr>
          <w:rFonts w:cs="Arial"/>
          <w:b/>
        </w:rPr>
        <w:t>(3) Klauzula 72 godzin</w:t>
      </w:r>
      <w:r w:rsidRPr="0081083D">
        <w:rPr>
          <w:rFonts w:cs="Arial"/>
        </w:rPr>
        <w:t xml:space="preserve"> – wszystkie zdarzenia szkodowe powstałe w czasie następujących po sobie </w:t>
      </w:r>
      <w:r>
        <w:rPr>
          <w:rFonts w:cs="Arial"/>
        </w:rPr>
        <w:br/>
      </w:r>
      <w:r w:rsidRPr="0081083D">
        <w:rPr>
          <w:rFonts w:cs="Arial"/>
        </w:rPr>
        <w:t>72 godzin na skutek jednej przyczyny traktowane są jako pojedyncza szkoda w odniesieniu do sumy ubezpieczenia, franszyzy redukcyjnej/udziału własnego, franszyzy integralnej określonych w umowie ubezpieczenia.</w:t>
      </w:r>
    </w:p>
    <w:p w14:paraId="6AA1FC73" w14:textId="77777777" w:rsidR="00840555" w:rsidRPr="0081083D" w:rsidRDefault="00840555" w:rsidP="00840555">
      <w:pPr>
        <w:spacing w:line="240" w:lineRule="auto"/>
        <w:jc w:val="both"/>
        <w:rPr>
          <w:rFonts w:cs="Arial"/>
        </w:rPr>
      </w:pPr>
      <w:r w:rsidRPr="0081083D">
        <w:rPr>
          <w:rFonts w:cs="Arial"/>
          <w:b/>
        </w:rPr>
        <w:t xml:space="preserve">(4) Klauzula istniejących systemów </w:t>
      </w:r>
      <w:proofErr w:type="spellStart"/>
      <w:r w:rsidRPr="0081083D">
        <w:rPr>
          <w:rFonts w:cs="Arial"/>
          <w:b/>
        </w:rPr>
        <w:t>przeciwkradzieżowych</w:t>
      </w:r>
      <w:proofErr w:type="spellEnd"/>
      <w:r w:rsidRPr="0081083D">
        <w:rPr>
          <w:rFonts w:cs="Arial"/>
        </w:rPr>
        <w:t xml:space="preserve"> – ubezpieczyciel oświadcza, że znany jest mu stan zabezpieczeń </w:t>
      </w:r>
      <w:proofErr w:type="spellStart"/>
      <w:r w:rsidRPr="0081083D">
        <w:rPr>
          <w:rFonts w:cs="Arial"/>
        </w:rPr>
        <w:t>przeciwkradzieżowych</w:t>
      </w:r>
      <w:proofErr w:type="spellEnd"/>
      <w:r w:rsidRPr="0081083D">
        <w:rPr>
          <w:rFonts w:cs="Arial"/>
        </w:rPr>
        <w:t xml:space="preserve"> i uznaje te zabezpieczenia za wystarczające.</w:t>
      </w:r>
    </w:p>
    <w:p w14:paraId="635EB2EC" w14:textId="77777777" w:rsidR="00840555" w:rsidRPr="0081083D" w:rsidRDefault="00840555" w:rsidP="00840555">
      <w:pPr>
        <w:spacing w:line="240" w:lineRule="auto"/>
        <w:jc w:val="both"/>
        <w:rPr>
          <w:rFonts w:cs="Arial"/>
        </w:rPr>
      </w:pPr>
      <w:r w:rsidRPr="0081083D">
        <w:rPr>
          <w:rFonts w:cs="Arial"/>
          <w:b/>
        </w:rPr>
        <w:t>(5) Klauzula istniejących systemów przeciwpożarowych</w:t>
      </w:r>
      <w:r w:rsidRPr="0081083D">
        <w:rPr>
          <w:rFonts w:cs="Arial"/>
        </w:rPr>
        <w:t xml:space="preserve"> – ubezpieczyciel oświadcza, że znany jest mu stan zabezpieczeń przeciwpożarowych i uznaje te zabezpieczenia za wystarczające.</w:t>
      </w:r>
    </w:p>
    <w:p w14:paraId="4302FE32" w14:textId="77777777" w:rsidR="00840555" w:rsidRPr="0081083D" w:rsidRDefault="00840555" w:rsidP="00840555">
      <w:pPr>
        <w:spacing w:line="240" w:lineRule="auto"/>
        <w:jc w:val="both"/>
        <w:rPr>
          <w:rFonts w:cs="Arial"/>
        </w:rPr>
      </w:pPr>
      <w:r w:rsidRPr="0081083D">
        <w:rPr>
          <w:rFonts w:cs="Arial"/>
          <w:b/>
        </w:rPr>
        <w:t>(6) Klauzula prolongacyjna</w:t>
      </w:r>
      <w:r w:rsidRPr="0081083D">
        <w:rPr>
          <w:rFonts w:cs="Arial"/>
        </w:rPr>
        <w:t xml:space="preserve"> – brak wpłaty składki lub którejkolwiek z rat w terminie przewidzianym </w:t>
      </w:r>
      <w:r>
        <w:rPr>
          <w:rFonts w:cs="Arial"/>
        </w:rPr>
        <w:br/>
      </w:r>
      <w:r w:rsidRPr="0081083D">
        <w:rPr>
          <w:rFonts w:cs="Arial"/>
        </w:rPr>
        <w:t xml:space="preserve">w umowie ubezpieczenia nie powoduje wygaśnięcia (rozwiązania) umowy ubezpieczenia ani zawieszenia ochrony ubezpieczeniowej i nie może być podstawą do odstąpienia przez </w:t>
      </w:r>
      <w:r w:rsidRPr="0081083D">
        <w:rPr>
          <w:rFonts w:cs="Arial"/>
        </w:rPr>
        <w:lastRenderedPageBreak/>
        <w:t xml:space="preserve">ubezpieczyciela od umowy ubezpieczenia ze skutkiem natychmiastowym. W sytuacji braku opłaty składki lub którejkolwiek z rat ubezpieczyciel zobowiązany jest wyznaczyć ubezpieczającemu na piśmie dodatkowy, co najmniej 14-dniowy termin do zapłaty. W przypadku braku wpłaty mimo wezwania, ubezpieczyciel zawiesza ochronę ubezpieczeniową do momentu opłacenia brakującej składki. Zapłata kwoty niższej niż składka lub rata będzie uznawana za wywiązanie się przez ubezpieczającego </w:t>
      </w:r>
      <w:r>
        <w:rPr>
          <w:rFonts w:cs="Arial"/>
        </w:rPr>
        <w:br/>
      </w:r>
      <w:r w:rsidRPr="0081083D">
        <w:rPr>
          <w:rFonts w:cs="Arial"/>
        </w:rPr>
        <w:t>z obowiązku zapłaty, jeżeli niedopłata nie przekracza 10% i była wynikiem błędu lub niedopatrzenia. Po otrzymaniu stosownej pisemnej informacji od ubezpieczyciela ubezpieczający dopłaci brakującą część składki lub raty.</w:t>
      </w:r>
    </w:p>
    <w:p w14:paraId="64DEA4AB" w14:textId="77777777" w:rsidR="00840555" w:rsidRPr="0081083D" w:rsidRDefault="00840555" w:rsidP="00840555">
      <w:pPr>
        <w:spacing w:line="240" w:lineRule="auto"/>
        <w:jc w:val="both"/>
        <w:rPr>
          <w:rFonts w:cs="Arial"/>
        </w:rPr>
      </w:pPr>
      <w:r w:rsidRPr="0081083D">
        <w:rPr>
          <w:rFonts w:cs="Arial"/>
          <w:b/>
        </w:rPr>
        <w:t>(7) Klauzula korespondencji elektronicznej</w:t>
      </w:r>
      <w:r w:rsidRPr="0081083D">
        <w:rPr>
          <w:rFonts w:cs="Arial"/>
        </w:rPr>
        <w:t xml:space="preserve"> – zawiadomienia i oświadczenia składane przez strony umowy ubezpieczenia mogą być dostarczane drugiej stronie drogą elektroniczną (certyfikowany podpis elektroniczny nie jest wymagany), za pomocą faksu lub telefonu.</w:t>
      </w:r>
    </w:p>
    <w:p w14:paraId="4C603286" w14:textId="77777777" w:rsidR="00840555" w:rsidRPr="00716EF3" w:rsidRDefault="00840555" w:rsidP="00840555">
      <w:pPr>
        <w:spacing w:after="0" w:line="240" w:lineRule="auto"/>
        <w:jc w:val="both"/>
        <w:rPr>
          <w:rFonts w:cs="Arial"/>
        </w:rPr>
      </w:pPr>
      <w:r w:rsidRPr="0081083D">
        <w:rPr>
          <w:rFonts w:cs="Arial"/>
          <w:b/>
        </w:rPr>
        <w:t>(8) Klauzula prac ziemnych i/lub drobnych prac budowlano-montażowych</w:t>
      </w:r>
      <w:r w:rsidRPr="0081083D">
        <w:rPr>
          <w:rFonts w:cs="Arial"/>
        </w:rPr>
        <w:t xml:space="preserve"> – </w:t>
      </w:r>
      <w:r w:rsidRPr="00716EF3">
        <w:rPr>
          <w:rFonts w:cs="Arial"/>
        </w:rPr>
        <w:t xml:space="preserve">w związku </w:t>
      </w:r>
      <w:r>
        <w:rPr>
          <w:rFonts w:cs="Arial"/>
        </w:rPr>
        <w:br/>
      </w:r>
      <w:r w:rsidRPr="00716EF3">
        <w:rPr>
          <w:rFonts w:cs="Arial"/>
        </w:rPr>
        <w:t>z prowadzeniem prac ziemnych i/lub drobnych prac budowlano-montażowych ubezpieczyciel obejmuje ochroną ubezpieczeniową mienie będące przedmiotem tych prac, rozumiane jako wartość materiałów i kosztów robocizny (limit 1</w:t>
      </w:r>
      <w:r>
        <w:rPr>
          <w:rFonts w:cs="Arial"/>
        </w:rPr>
        <w:t>.</w:t>
      </w:r>
      <w:r w:rsidRPr="00716EF3">
        <w:rPr>
          <w:rFonts w:cs="Arial"/>
        </w:rPr>
        <w:t>000</w:t>
      </w:r>
      <w:r>
        <w:rPr>
          <w:rFonts w:cs="Arial"/>
        </w:rPr>
        <w:t>.</w:t>
      </w:r>
      <w:r w:rsidRPr="00716EF3">
        <w:rPr>
          <w:rFonts w:cs="Arial"/>
        </w:rPr>
        <w:t xml:space="preserve">000 </w:t>
      </w:r>
      <w:r>
        <w:rPr>
          <w:rFonts w:cs="Arial"/>
        </w:rPr>
        <w:t>PLN</w:t>
      </w:r>
      <w:r w:rsidRPr="00716EF3">
        <w:rPr>
          <w:rFonts w:cs="Arial"/>
        </w:rPr>
        <w:t xml:space="preserve"> na jedno i wszystkie zdarzenia w okresie ubezpieczenia) oraz mienie otaczające (do pełnej wysokości sumy ubezpieczenia/limitu odpowiedzialności). Ubezpieczyciel obejmuje ochroną ubezpieczeniową szkody powstałe w związku </w:t>
      </w:r>
      <w:r>
        <w:rPr>
          <w:rFonts w:cs="Arial"/>
        </w:rPr>
        <w:br/>
      </w:r>
      <w:r w:rsidRPr="00716EF3">
        <w:rPr>
          <w:rFonts w:cs="Arial"/>
        </w:rPr>
        <w:t>z powyższą klauzulą pod warunkiem, że prace te:</w:t>
      </w:r>
    </w:p>
    <w:p w14:paraId="217F28EE" w14:textId="77777777" w:rsidR="00840555" w:rsidRPr="00716EF3" w:rsidRDefault="00840555" w:rsidP="00840555">
      <w:pPr>
        <w:spacing w:after="0" w:line="240" w:lineRule="auto"/>
        <w:jc w:val="both"/>
        <w:rPr>
          <w:rFonts w:cs="Arial"/>
        </w:rPr>
      </w:pPr>
      <w:r w:rsidRPr="00716EF3">
        <w:rPr>
          <w:rFonts w:cs="Arial"/>
        </w:rPr>
        <w:t>- nie naruszają stabilności konstrukcji nośnej i dachowej budynku, budowli, w którym są prowadzone</w:t>
      </w:r>
    </w:p>
    <w:p w14:paraId="2651FBAB" w14:textId="77777777" w:rsidR="00840555" w:rsidRPr="00716EF3" w:rsidRDefault="00840555" w:rsidP="00840555">
      <w:pPr>
        <w:spacing w:after="0" w:line="240" w:lineRule="auto"/>
        <w:jc w:val="both"/>
        <w:rPr>
          <w:rFonts w:cs="Arial"/>
        </w:rPr>
      </w:pPr>
      <w:r w:rsidRPr="00716EF3">
        <w:rPr>
          <w:rFonts w:cs="Arial"/>
        </w:rPr>
        <w:t>- nie mają wpływu na sprawność urządzeń przeciwpożarowych.</w:t>
      </w:r>
    </w:p>
    <w:p w14:paraId="3230945B" w14:textId="77777777" w:rsidR="00840555" w:rsidRDefault="00840555" w:rsidP="00840555">
      <w:pPr>
        <w:spacing w:line="240" w:lineRule="auto"/>
        <w:jc w:val="both"/>
        <w:rPr>
          <w:rFonts w:cs="Arial"/>
          <w:b/>
        </w:rPr>
      </w:pPr>
    </w:p>
    <w:p w14:paraId="0CB83A9B" w14:textId="77777777" w:rsidR="00840555" w:rsidRPr="0081083D" w:rsidRDefault="00840555" w:rsidP="00840555">
      <w:pPr>
        <w:spacing w:line="240" w:lineRule="auto"/>
        <w:jc w:val="both"/>
        <w:rPr>
          <w:rFonts w:cs="Arial"/>
        </w:rPr>
      </w:pPr>
      <w:r w:rsidRPr="0081083D">
        <w:rPr>
          <w:rFonts w:cs="Arial"/>
          <w:b/>
        </w:rPr>
        <w:t xml:space="preserve"> (9) Klauzula automatycznego ubezpieczenia nowych lokalizacji</w:t>
      </w:r>
      <w:r w:rsidRPr="0081083D">
        <w:rPr>
          <w:rFonts w:cs="Arial"/>
        </w:rPr>
        <w:t xml:space="preserve"> – ochronę ubezpieczeniową rozszerza się na wszystkie nowe lokalizacje użytkowane lub administrowane przez ubezpieczającego. Ubezpieczający jest zobowiązany do zgłoszenia ubezpieczycielowi nowych lokalizacji wraz z wartością znajdującego się w nich mienia w ciągu 30 dni od dnia przyjęcia ich do użytku lub administrowania. Dodatkowa składka płatna będzie w systemie pro rata od dnia przyjęcia lokalizacji do użytku </w:t>
      </w:r>
      <w:r w:rsidRPr="0081083D">
        <w:rPr>
          <w:rFonts w:cs="Arial"/>
        </w:rPr>
        <w:br/>
        <w:t>lub administrowania.</w:t>
      </w:r>
    </w:p>
    <w:p w14:paraId="12AD1418" w14:textId="77777777" w:rsidR="00840555" w:rsidRPr="0081083D" w:rsidRDefault="00840555" w:rsidP="00840555">
      <w:pPr>
        <w:spacing w:line="240" w:lineRule="auto"/>
        <w:jc w:val="both"/>
        <w:rPr>
          <w:rFonts w:cs="Arial"/>
        </w:rPr>
      </w:pPr>
      <w:r w:rsidRPr="0081083D">
        <w:rPr>
          <w:rFonts w:cs="Arial"/>
          <w:b/>
        </w:rPr>
        <w:t>(11) Klauzula stempla bankowego</w:t>
      </w:r>
      <w:r w:rsidRPr="0081083D">
        <w:rPr>
          <w:rFonts w:cs="Arial"/>
        </w:rPr>
        <w:t xml:space="preserve"> – jeżeli zapłata raty składki lub składki dokonywana jest w formie przelewu bankowego lub przekazu pocztowego, za dzień zapłaty uważa się dzień zlecenia zapłaty </w:t>
      </w:r>
      <w:r>
        <w:rPr>
          <w:rFonts w:cs="Arial"/>
        </w:rPr>
        <w:br/>
      </w:r>
      <w:r w:rsidRPr="0081083D">
        <w:rPr>
          <w:rFonts w:cs="Arial"/>
        </w:rPr>
        <w:t>w banku, urzędzie pocztowym lub systemie elektronicznym.</w:t>
      </w:r>
    </w:p>
    <w:p w14:paraId="14E890A6" w14:textId="77777777" w:rsidR="00840555" w:rsidRPr="0081083D" w:rsidRDefault="00840555" w:rsidP="00840555">
      <w:pPr>
        <w:spacing w:line="240" w:lineRule="auto"/>
        <w:jc w:val="both"/>
        <w:rPr>
          <w:rFonts w:cs="Arial"/>
        </w:rPr>
      </w:pPr>
      <w:r w:rsidRPr="0081083D">
        <w:rPr>
          <w:rFonts w:cs="Arial"/>
          <w:b/>
        </w:rPr>
        <w:t>(12) Klauzula zgłaszania szkód</w:t>
      </w:r>
      <w:r w:rsidRPr="0081083D">
        <w:rPr>
          <w:rFonts w:cs="Arial"/>
        </w:rPr>
        <w:t xml:space="preserve"> – zawiadomienie ubezpieczyciela o szkodzie winno nastąpić niezwłocznie, nie później jednak niż w ciągu 14 dni od daty powstania szkody lub uzyskania o niej wiadomości, chyba że ogólne warunki ubezpieczenia przewidują dłuższy termin. Zapisane w ogólnych warunkach skutki niezawiadomienia ubezpieczyciela o szkodzie w odpowiednim terminie mają zastosowanie tylko i wyłącznie w sytuacji, kiedy niezawiadomienie w terminie miało wpływ na ustalenie odpowiedzialności ubezpieczyciela i rozmiar szkody. W przypadku, gdy koniec terminu przypada w sobotę lub dzień ustawowo wolny od pracy, termin przedłuża się do pierwszego dnia roboczego po tym dniu. Przy obliczaniu terminu do zawiadomienia nie uwzględnia się dnia powstania szkody lub uzyskania o niej wiadomości.</w:t>
      </w:r>
    </w:p>
    <w:p w14:paraId="3901DF10" w14:textId="77777777" w:rsidR="00840555" w:rsidRPr="00CC4FF7" w:rsidRDefault="00840555" w:rsidP="00840555">
      <w:pPr>
        <w:spacing w:after="0" w:line="240" w:lineRule="auto"/>
        <w:jc w:val="both"/>
        <w:rPr>
          <w:rFonts w:cs="Arial"/>
        </w:rPr>
      </w:pPr>
      <w:r w:rsidRPr="0081083D">
        <w:rPr>
          <w:rFonts w:cs="Arial"/>
          <w:b/>
        </w:rPr>
        <w:t>(13) Klauzula kradzieży zwykłej</w:t>
      </w:r>
      <w:r w:rsidRPr="0081083D">
        <w:rPr>
          <w:rFonts w:cs="Arial"/>
        </w:rPr>
        <w:t xml:space="preserve"> – ochronę ubezpieczeniową rozszerza się o kradzież zwykłą, tj. zabór mienia bez pokonania istniejących zabezpieczeń oraz bez użycia przemocy lub groźby jej użycia wobec osoby, bądź doprowadzenia osoby do stanu nieprzytomności lub bezbronności. Limit 5</w:t>
      </w:r>
      <w:r>
        <w:rPr>
          <w:rFonts w:cs="Arial"/>
        </w:rPr>
        <w:t>.</w:t>
      </w:r>
      <w:r w:rsidRPr="0081083D">
        <w:rPr>
          <w:rFonts w:cs="Arial"/>
        </w:rPr>
        <w:t xml:space="preserve">000 </w:t>
      </w:r>
      <w:r>
        <w:rPr>
          <w:rFonts w:cs="Arial"/>
        </w:rPr>
        <w:t>PLN</w:t>
      </w:r>
      <w:r w:rsidRPr="0081083D">
        <w:rPr>
          <w:rFonts w:cs="Arial"/>
        </w:rPr>
        <w:t xml:space="preserve"> </w:t>
      </w:r>
      <w:r>
        <w:rPr>
          <w:rFonts w:cs="Arial"/>
        </w:rPr>
        <w:br/>
      </w:r>
      <w:r w:rsidRPr="0081083D">
        <w:rPr>
          <w:rFonts w:cs="Arial"/>
        </w:rPr>
        <w:t>na jedno i wszystkie zdarzenia w okresie ubezpieczenia.</w:t>
      </w:r>
      <w:r>
        <w:rPr>
          <w:rFonts w:cs="Arial"/>
        </w:rPr>
        <w:t xml:space="preserve"> </w:t>
      </w:r>
      <w:r w:rsidRPr="00CC4FF7">
        <w:rPr>
          <w:rFonts w:cs="Arial"/>
        </w:rPr>
        <w:t>Ubezpieczyciel nie odpowiada za szkody:</w:t>
      </w:r>
    </w:p>
    <w:p w14:paraId="17D7297A" w14:textId="77777777" w:rsidR="00840555" w:rsidRPr="00CC4FF7" w:rsidRDefault="00840555" w:rsidP="00840555">
      <w:pPr>
        <w:spacing w:after="0" w:line="240" w:lineRule="auto"/>
        <w:jc w:val="both"/>
        <w:rPr>
          <w:rFonts w:cs="Arial"/>
        </w:rPr>
      </w:pPr>
      <w:r w:rsidRPr="00CC4FF7">
        <w:rPr>
          <w:rFonts w:cs="Arial"/>
        </w:rPr>
        <w:t>- spowodowane przez niewytłumaczalne niedobory lub niedobory inwentarzowe i braki powodowane błędami urzędowymi lub księgowymi;</w:t>
      </w:r>
    </w:p>
    <w:p w14:paraId="345EFDCB" w14:textId="77777777" w:rsidR="00840555" w:rsidRPr="00CC4FF7" w:rsidRDefault="00840555" w:rsidP="00840555">
      <w:pPr>
        <w:spacing w:after="0" w:line="240" w:lineRule="auto"/>
        <w:jc w:val="both"/>
        <w:rPr>
          <w:rFonts w:cs="Arial"/>
        </w:rPr>
      </w:pPr>
      <w:r w:rsidRPr="00CC4FF7">
        <w:rPr>
          <w:rFonts w:cs="Arial"/>
        </w:rPr>
        <w:lastRenderedPageBreak/>
        <w:t>- wyrządzone wskutek przywłaszczenia, fałszerstwa, nadużycia lub innego działania umyślnego ubezpieczającego;</w:t>
      </w:r>
    </w:p>
    <w:p w14:paraId="3B3B31BC" w14:textId="77777777" w:rsidR="00840555" w:rsidRPr="0081083D" w:rsidRDefault="00840555" w:rsidP="00840555">
      <w:pPr>
        <w:spacing w:after="0" w:line="240" w:lineRule="auto"/>
        <w:jc w:val="both"/>
        <w:rPr>
          <w:rFonts w:cs="Arial"/>
        </w:rPr>
      </w:pPr>
      <w:r w:rsidRPr="00CC4FF7">
        <w:rPr>
          <w:rFonts w:cs="Arial"/>
        </w:rPr>
        <w:t>- szkod</w:t>
      </w:r>
      <w:r>
        <w:rPr>
          <w:rFonts w:cs="Arial"/>
        </w:rPr>
        <w:t>y w gotówce i jej substytutach.</w:t>
      </w:r>
    </w:p>
    <w:p w14:paraId="68EFBCBB" w14:textId="77777777" w:rsidR="00840555" w:rsidRDefault="00840555" w:rsidP="00840555">
      <w:pPr>
        <w:spacing w:line="240" w:lineRule="auto"/>
        <w:jc w:val="both"/>
        <w:rPr>
          <w:rFonts w:cs="Arial"/>
          <w:b/>
        </w:rPr>
      </w:pPr>
    </w:p>
    <w:p w14:paraId="50283E0E" w14:textId="77777777" w:rsidR="00840555" w:rsidRPr="0081083D" w:rsidRDefault="00840555" w:rsidP="00840555">
      <w:pPr>
        <w:spacing w:line="240" w:lineRule="auto"/>
        <w:jc w:val="both"/>
        <w:rPr>
          <w:rFonts w:cs="Arial"/>
        </w:rPr>
      </w:pPr>
      <w:r w:rsidRPr="0081083D">
        <w:rPr>
          <w:rFonts w:cs="Arial"/>
          <w:b/>
        </w:rPr>
        <w:t>(14) Klauzula reprezentantów</w:t>
      </w:r>
      <w:r w:rsidRPr="0081083D">
        <w:rPr>
          <w:rFonts w:cs="Arial"/>
        </w:rPr>
        <w:t xml:space="preserve"> – ubezpieczyciel jest wolny od odpowiedzialności za szkody powstałe na skutek winy umyślnej reprezentantów ubezpieczającego, jeżeli szkoda została wyrządzona </w:t>
      </w:r>
      <w:r>
        <w:rPr>
          <w:rFonts w:cs="Arial"/>
        </w:rPr>
        <w:br/>
      </w:r>
      <w:r w:rsidRPr="0081083D">
        <w:rPr>
          <w:rFonts w:cs="Arial"/>
        </w:rPr>
        <w:t>w związku z pełnieniem funkcji reprezentanta. Za reprezentantów uznaje się osoby lub organ wielo</w:t>
      </w:r>
      <w:r>
        <w:rPr>
          <w:rFonts w:cs="Arial"/>
        </w:rPr>
        <w:t>osobowy</w:t>
      </w:r>
      <w:r w:rsidRPr="0081083D">
        <w:rPr>
          <w:rFonts w:cs="Arial"/>
        </w:rPr>
        <w:t xml:space="preserve">, który uprawniony jest zgodnie z obowiązującymi przepisami lub statutem </w:t>
      </w:r>
      <w:r>
        <w:rPr>
          <w:rFonts w:cs="Arial"/>
        </w:rPr>
        <w:br/>
      </w:r>
      <w:r w:rsidRPr="0081083D">
        <w:rPr>
          <w:rFonts w:cs="Arial"/>
        </w:rPr>
        <w:t>do zarządzania ubezpieczonym podmiotem</w:t>
      </w:r>
      <w:r>
        <w:rPr>
          <w:rFonts w:cs="Arial"/>
        </w:rPr>
        <w:t xml:space="preserve">. </w:t>
      </w:r>
      <w:r w:rsidRPr="0081083D">
        <w:rPr>
          <w:rFonts w:cs="Arial"/>
        </w:rPr>
        <w:t xml:space="preserve">Niezależnie od powyższych zapisów ochrona obejmuje szkody spowodowane przez wszelkich przedstawicieli ubezpieczającego na skutek rażącego niedbalstwa (dotyczy również reprezentantów). </w:t>
      </w:r>
    </w:p>
    <w:p w14:paraId="32E17D0C" w14:textId="77777777" w:rsidR="00840555" w:rsidRPr="0081083D" w:rsidRDefault="00840555" w:rsidP="00840555">
      <w:pPr>
        <w:spacing w:after="0" w:line="240" w:lineRule="auto"/>
        <w:jc w:val="both"/>
        <w:rPr>
          <w:rFonts w:cs="Arial"/>
        </w:rPr>
      </w:pPr>
      <w:r w:rsidRPr="0081083D">
        <w:rPr>
          <w:rFonts w:cs="Arial"/>
          <w:b/>
        </w:rPr>
        <w:t>(15) Klauzula automatycznego pokrycia</w:t>
      </w:r>
      <w:r w:rsidRPr="0081083D">
        <w:rPr>
          <w:rFonts w:cs="Arial"/>
        </w:rPr>
        <w:t xml:space="preserve"> – </w:t>
      </w:r>
      <w:r w:rsidRPr="0081083D">
        <w:t xml:space="preserve">ubezpieczyciel </w:t>
      </w:r>
      <w:r w:rsidRPr="0081083D">
        <w:rPr>
          <w:rFonts w:cs="Arial"/>
        </w:rPr>
        <w:t>obejmuje automatycznym pokryciem ubezpieczeniowym, bez konieczności wcześniejszej deklaracji, każdy wzrost wartości mienia z tytułu nabycia na podstawie umów kupna-sprzedaży bądź innych umów, na mocy których powstaje po stronie ubezpieczającego prawo do używania rzeczy (leasing, najem, dzierżawa, użytkowanie, użyczenie itp.), dodania lub wymiany w okresie ubezpieczenia środków trwałych, a także z tytułu nakładów adaptacyjnych, remontów, modernizacji oraz inwestycji od dnia ich dokonania w odniesieniu do danej rzeczy, niezależnie od momentu przejścia własności bądź innego prawa na ubezpieczającego, jednak nie później niż od momentu powstania ryzyka po stronie ubezpieczającego. Odpowiedzialność ubezpieczyciela w stosunku do automatycznie ubezpieczonego na mocy niniejszej klauzuli mienia ograniczona jest do wysokości 20% wartości łącznej sumy ubezpieczenia. W przypadku, gdy zwiększenie wartości majątku nie przekroczy 20% sumy ubezpieczenia (po 12 miesiącach obowiązywania umowy ubezpieczenia), rozliczenie składki z tytułu obowiązywania niniejszej klauzuli nie będzie miało zastosowania.</w:t>
      </w:r>
    </w:p>
    <w:p w14:paraId="0F8706A9" w14:textId="77777777" w:rsidR="00840555" w:rsidRPr="0081083D" w:rsidRDefault="00840555" w:rsidP="00840555">
      <w:pPr>
        <w:spacing w:line="240" w:lineRule="auto"/>
        <w:jc w:val="both"/>
        <w:rPr>
          <w:rFonts w:cs="Arial"/>
          <w:b/>
        </w:rPr>
      </w:pPr>
    </w:p>
    <w:p w14:paraId="4A1737F1" w14:textId="77777777" w:rsidR="00840555" w:rsidRPr="0081083D" w:rsidRDefault="00840555" w:rsidP="00840555">
      <w:pPr>
        <w:spacing w:line="240" w:lineRule="auto"/>
        <w:jc w:val="both"/>
        <w:rPr>
          <w:rFonts w:cs="Arial"/>
        </w:rPr>
      </w:pPr>
      <w:r w:rsidRPr="0081083D">
        <w:rPr>
          <w:rFonts w:cs="Arial"/>
          <w:b/>
        </w:rPr>
        <w:t>(16) Klauzula wyłączająca zasadę niedoubezpieczenia i zasadę proporcji (</w:t>
      </w:r>
      <w:proofErr w:type="spellStart"/>
      <w:r w:rsidRPr="0081083D">
        <w:rPr>
          <w:rFonts w:cs="Arial"/>
          <w:b/>
        </w:rPr>
        <w:t>leeway</w:t>
      </w:r>
      <w:proofErr w:type="spellEnd"/>
      <w:r w:rsidRPr="0081083D">
        <w:rPr>
          <w:rFonts w:cs="Arial"/>
          <w:b/>
        </w:rPr>
        <w:t>)</w:t>
      </w:r>
      <w:r w:rsidRPr="0081083D">
        <w:rPr>
          <w:rFonts w:cs="Arial"/>
        </w:rPr>
        <w:t xml:space="preserve"> – wyłącza się zasadę stosowania proporcjonalności redukcji odszkodowania w przypadku, gdy różnica między sumą ubezpieczenia zadeklarowanego w umowie ubezpieczenia dla poszczególnego składnika mienia, </w:t>
      </w:r>
      <w:r>
        <w:rPr>
          <w:rFonts w:cs="Arial"/>
        </w:rPr>
        <w:br/>
      </w:r>
      <w:r w:rsidRPr="0081083D">
        <w:rPr>
          <w:rFonts w:cs="Arial"/>
        </w:rPr>
        <w:t xml:space="preserve">a faktyczną wartością tego mienia na dzień szkody wynosi nie więcej niż 30%. </w:t>
      </w:r>
    </w:p>
    <w:p w14:paraId="77C9FB61" w14:textId="77777777" w:rsidR="00840555" w:rsidRPr="0081083D" w:rsidRDefault="00840555" w:rsidP="00840555">
      <w:pPr>
        <w:spacing w:line="240" w:lineRule="auto"/>
        <w:jc w:val="both"/>
        <w:rPr>
          <w:rFonts w:cs="Arial"/>
          <w:b/>
        </w:rPr>
      </w:pPr>
      <w:r w:rsidRPr="0081083D">
        <w:rPr>
          <w:rFonts w:cs="Arial"/>
          <w:b/>
        </w:rPr>
        <w:t>(18) Klauzula płatności rat</w:t>
      </w:r>
      <w:r w:rsidRPr="0081083D">
        <w:rPr>
          <w:rFonts w:cs="Arial"/>
        </w:rPr>
        <w:t xml:space="preserve"> – w przypadku wypłaty odszkodowania ubezpieczyciel nie jest uprawniony do potrącenia z kwoty odszkodowania rat jeszcze nie wymagalnych lub też żądania zapłaty pozostałych do końca trwania okresu ubezpieczenia składek. </w:t>
      </w:r>
    </w:p>
    <w:p w14:paraId="1ABDA87C" w14:textId="77777777" w:rsidR="00840555" w:rsidRPr="0081083D" w:rsidRDefault="00840555" w:rsidP="00840555">
      <w:pPr>
        <w:spacing w:line="240" w:lineRule="auto"/>
        <w:jc w:val="both"/>
        <w:rPr>
          <w:rFonts w:cs="Arial"/>
        </w:rPr>
      </w:pPr>
      <w:r w:rsidRPr="0081083D">
        <w:rPr>
          <w:rFonts w:cs="Arial"/>
          <w:b/>
        </w:rPr>
        <w:t>(20) Klauzula kosztów dodatkowych w związku ze szkodą</w:t>
      </w:r>
      <w:r w:rsidRPr="0081083D">
        <w:rPr>
          <w:rFonts w:cs="Arial"/>
        </w:rPr>
        <w:t xml:space="preserve"> – ubezpieczyciel zwraca koszty poniesione przez ubezpieczającego lub podmioty działające na jego zlecenie tytułem:</w:t>
      </w:r>
    </w:p>
    <w:p w14:paraId="78F5546A" w14:textId="77777777" w:rsidR="00840555" w:rsidRPr="0081083D" w:rsidRDefault="00840555" w:rsidP="00840555">
      <w:pPr>
        <w:numPr>
          <w:ilvl w:val="0"/>
          <w:numId w:val="10"/>
        </w:numPr>
        <w:spacing w:after="0" w:line="240" w:lineRule="auto"/>
        <w:jc w:val="both"/>
        <w:rPr>
          <w:rFonts w:cs="Arial"/>
        </w:rPr>
      </w:pPr>
      <w:r w:rsidRPr="0081083D">
        <w:rPr>
          <w:rFonts w:cs="Arial"/>
        </w:rPr>
        <w:t>akcji ratowniczej lub innej, prowadzonej w związku z wystąpieniem zdarzeń losowych objętych zakresem ubezpieczenia, w tym wynagrodzenia służb ratowniczych,</w:t>
      </w:r>
    </w:p>
    <w:p w14:paraId="76B46FA0" w14:textId="77777777" w:rsidR="00840555" w:rsidRPr="0081083D" w:rsidRDefault="00840555" w:rsidP="00840555">
      <w:pPr>
        <w:numPr>
          <w:ilvl w:val="0"/>
          <w:numId w:val="10"/>
        </w:numPr>
        <w:spacing w:after="0" w:line="240" w:lineRule="auto"/>
        <w:jc w:val="both"/>
        <w:rPr>
          <w:rFonts w:cs="Arial"/>
        </w:rPr>
      </w:pPr>
      <w:r w:rsidRPr="0081083D">
        <w:rPr>
          <w:rFonts w:cs="Arial"/>
        </w:rPr>
        <w:t xml:space="preserve">zastosowania wszelkich dostępnych środków w celu zmniejszenia szkody, niedopuszczenia </w:t>
      </w:r>
      <w:r>
        <w:rPr>
          <w:rFonts w:cs="Arial"/>
        </w:rPr>
        <w:br/>
      </w:r>
      <w:r w:rsidRPr="0081083D">
        <w:rPr>
          <w:rFonts w:cs="Arial"/>
        </w:rPr>
        <w:t>do jej zwiększenia oraz w celu zabezpieczenia zagrożonego mienia przed szkodą, chociażby środki te okazały się bezskuteczne,</w:t>
      </w:r>
    </w:p>
    <w:p w14:paraId="032B368E" w14:textId="77777777" w:rsidR="00840555" w:rsidRPr="0081083D" w:rsidRDefault="00840555" w:rsidP="00840555">
      <w:pPr>
        <w:numPr>
          <w:ilvl w:val="0"/>
          <w:numId w:val="10"/>
        </w:numPr>
        <w:spacing w:after="0" w:line="240" w:lineRule="auto"/>
        <w:jc w:val="both"/>
        <w:rPr>
          <w:rFonts w:cs="Arial"/>
        </w:rPr>
      </w:pPr>
      <w:r w:rsidRPr="0081083D">
        <w:rPr>
          <w:rFonts w:cs="Arial"/>
        </w:rPr>
        <w:t>wynajęcia, transportu, szalunku, ustawienia, rozebrania oraz naprawy rusztowań, drabin itp., użycia dźwigu, umożliwiających montaż, demontaż lub naprawę przedmiotu ubezpieczenia lub jego części,</w:t>
      </w:r>
    </w:p>
    <w:p w14:paraId="2BD88894" w14:textId="77777777" w:rsidR="00840555" w:rsidRPr="0081083D" w:rsidRDefault="00840555" w:rsidP="00840555">
      <w:pPr>
        <w:numPr>
          <w:ilvl w:val="0"/>
          <w:numId w:val="10"/>
        </w:numPr>
        <w:spacing w:after="0" w:line="240" w:lineRule="auto"/>
        <w:jc w:val="both"/>
        <w:rPr>
          <w:rFonts w:cs="Arial"/>
        </w:rPr>
      </w:pPr>
      <w:r w:rsidRPr="0081083D">
        <w:rPr>
          <w:rFonts w:cs="Arial"/>
        </w:rPr>
        <w:t>montażu, demontażu, wymiany oraz naprawy uszkodzonego lub zniszczonego przedmiotu ubezpieczenia lub jego części oraz innych uszkodzonych lub zniszczonych przedmiotów bądź ich części (w tym koszty dojazdu),</w:t>
      </w:r>
    </w:p>
    <w:p w14:paraId="2CFC68F1" w14:textId="77777777" w:rsidR="00840555" w:rsidRPr="0081083D" w:rsidRDefault="00840555" w:rsidP="00840555">
      <w:pPr>
        <w:numPr>
          <w:ilvl w:val="0"/>
          <w:numId w:val="10"/>
        </w:numPr>
        <w:spacing w:after="0" w:line="240" w:lineRule="auto"/>
        <w:jc w:val="both"/>
        <w:rPr>
          <w:rFonts w:cs="Arial"/>
        </w:rPr>
      </w:pPr>
      <w:r w:rsidRPr="0081083D">
        <w:rPr>
          <w:rFonts w:cs="Arial"/>
        </w:rPr>
        <w:t>montażu, demontażu nieuszkodzonych części ubezpieczonego mienia,</w:t>
      </w:r>
    </w:p>
    <w:p w14:paraId="6A52A17E" w14:textId="77777777" w:rsidR="00840555" w:rsidRPr="0081083D" w:rsidRDefault="00840555" w:rsidP="00840555">
      <w:pPr>
        <w:numPr>
          <w:ilvl w:val="0"/>
          <w:numId w:val="10"/>
        </w:numPr>
        <w:spacing w:after="0" w:line="240" w:lineRule="auto"/>
        <w:jc w:val="both"/>
        <w:rPr>
          <w:rFonts w:cs="Arial"/>
        </w:rPr>
      </w:pPr>
      <w:r w:rsidRPr="0081083D">
        <w:rPr>
          <w:rFonts w:cs="Arial"/>
        </w:rPr>
        <w:t>prac stolarskich, murarskich, tynkarskich, malarskich, ziemnych, z zakresu inżynierii lądowej itp.,</w:t>
      </w:r>
    </w:p>
    <w:p w14:paraId="7F0A4499" w14:textId="77777777" w:rsidR="00840555" w:rsidRPr="0081083D" w:rsidRDefault="00840555" w:rsidP="00840555">
      <w:pPr>
        <w:numPr>
          <w:ilvl w:val="0"/>
          <w:numId w:val="10"/>
        </w:numPr>
        <w:spacing w:after="0" w:line="240" w:lineRule="auto"/>
        <w:jc w:val="both"/>
        <w:rPr>
          <w:rFonts w:cs="Arial"/>
        </w:rPr>
      </w:pPr>
      <w:r w:rsidRPr="0081083D">
        <w:rPr>
          <w:rFonts w:cs="Arial"/>
        </w:rPr>
        <w:lastRenderedPageBreak/>
        <w:t xml:space="preserve">dozoru, przechowania, składowania, utylizacji (w tym mienia zanieczyszczonego lub zniszczonego na skutek wycieku amoniaku), złomowania mienia oraz transportu </w:t>
      </w:r>
      <w:r>
        <w:rPr>
          <w:rFonts w:cs="Arial"/>
        </w:rPr>
        <w:br/>
      </w:r>
      <w:r w:rsidRPr="0081083D">
        <w:rPr>
          <w:rFonts w:cs="Arial"/>
        </w:rPr>
        <w:t>do/z lokalizacji gdzie odbywa się dozór, przechowanie, składowanie, utylizacja, złomowanie,</w:t>
      </w:r>
    </w:p>
    <w:p w14:paraId="47F69C04" w14:textId="77777777" w:rsidR="00840555" w:rsidRPr="0081083D" w:rsidRDefault="00840555" w:rsidP="00840555">
      <w:pPr>
        <w:numPr>
          <w:ilvl w:val="0"/>
          <w:numId w:val="10"/>
        </w:numPr>
        <w:spacing w:after="0" w:line="240" w:lineRule="auto"/>
        <w:jc w:val="both"/>
        <w:rPr>
          <w:rFonts w:cs="Arial"/>
        </w:rPr>
      </w:pPr>
      <w:r w:rsidRPr="0081083D">
        <w:rPr>
          <w:rFonts w:cs="Arial"/>
        </w:rPr>
        <w:t xml:space="preserve">transportu mienia do/z miejsca naprawy, transportu mienia nowego, transportu części zamiennych </w:t>
      </w:r>
      <w:r>
        <w:rPr>
          <w:rFonts w:cs="Arial"/>
        </w:rPr>
        <w:t xml:space="preserve"> </w:t>
      </w:r>
      <w:r w:rsidRPr="0081083D">
        <w:rPr>
          <w:rFonts w:cs="Arial"/>
        </w:rPr>
        <w:t>(w tym koszty przesyłek ekspresowych i frachtu lotniczego, także zagranicznego),</w:t>
      </w:r>
    </w:p>
    <w:p w14:paraId="5ACC17CC" w14:textId="77777777" w:rsidR="00840555" w:rsidRPr="0081083D" w:rsidRDefault="00840555" w:rsidP="00840555">
      <w:pPr>
        <w:numPr>
          <w:ilvl w:val="0"/>
          <w:numId w:val="10"/>
        </w:numPr>
        <w:spacing w:after="0" w:line="240" w:lineRule="auto"/>
        <w:jc w:val="both"/>
        <w:rPr>
          <w:rFonts w:cs="Arial"/>
        </w:rPr>
      </w:pPr>
      <w:r w:rsidRPr="0081083D">
        <w:rPr>
          <w:rFonts w:cs="Arial"/>
        </w:rPr>
        <w:t>tymczasowego oszklenia lub zabezpieczenia,</w:t>
      </w:r>
    </w:p>
    <w:p w14:paraId="62B9DED9" w14:textId="77777777" w:rsidR="00840555" w:rsidRPr="0081083D" w:rsidRDefault="00840555" w:rsidP="00840555">
      <w:pPr>
        <w:numPr>
          <w:ilvl w:val="0"/>
          <w:numId w:val="10"/>
        </w:numPr>
        <w:spacing w:after="0" w:line="240" w:lineRule="auto"/>
        <w:jc w:val="both"/>
        <w:rPr>
          <w:rFonts w:cs="Arial"/>
        </w:rPr>
      </w:pPr>
      <w:r w:rsidRPr="0081083D">
        <w:rPr>
          <w:rFonts w:cs="Arial"/>
        </w:rPr>
        <w:t>usług ekspresowych,</w:t>
      </w:r>
    </w:p>
    <w:p w14:paraId="0FA720B3" w14:textId="77777777" w:rsidR="00840555" w:rsidRPr="0081083D" w:rsidRDefault="00840555" w:rsidP="00840555">
      <w:pPr>
        <w:numPr>
          <w:ilvl w:val="0"/>
          <w:numId w:val="10"/>
        </w:numPr>
        <w:spacing w:after="0" w:line="240" w:lineRule="auto"/>
        <w:jc w:val="both"/>
        <w:rPr>
          <w:rFonts w:cs="Arial"/>
        </w:rPr>
      </w:pPr>
      <w:r w:rsidRPr="0081083D">
        <w:rPr>
          <w:rFonts w:cs="Arial"/>
        </w:rPr>
        <w:t>odtworzenia na powierzchni znaków, napisów, rysunków, ozdób, liter itp.,</w:t>
      </w:r>
    </w:p>
    <w:p w14:paraId="199E1BCA" w14:textId="77777777" w:rsidR="00840555" w:rsidRPr="0081083D" w:rsidRDefault="00840555" w:rsidP="00840555">
      <w:pPr>
        <w:numPr>
          <w:ilvl w:val="0"/>
          <w:numId w:val="10"/>
        </w:numPr>
        <w:spacing w:after="0" w:line="240" w:lineRule="auto"/>
        <w:jc w:val="both"/>
        <w:rPr>
          <w:rFonts w:cs="Arial"/>
        </w:rPr>
      </w:pPr>
      <w:r w:rsidRPr="0081083D">
        <w:rPr>
          <w:rFonts w:cs="Arial"/>
        </w:rPr>
        <w:t>ustalenia rozmiarów i okoliczności szkody, powołania inżynierów serwisowych, ekspertów lub rzeczoznawców (w tym koszty ich podróży, także z zagranicy),</w:t>
      </w:r>
    </w:p>
    <w:p w14:paraId="619CE707" w14:textId="77777777" w:rsidR="00840555" w:rsidRPr="0081083D" w:rsidRDefault="00840555" w:rsidP="00840555">
      <w:pPr>
        <w:numPr>
          <w:ilvl w:val="0"/>
          <w:numId w:val="10"/>
        </w:numPr>
        <w:spacing w:after="0" w:line="240" w:lineRule="auto"/>
        <w:jc w:val="both"/>
        <w:rPr>
          <w:rFonts w:cs="Arial"/>
        </w:rPr>
      </w:pPr>
      <w:r w:rsidRPr="0081083D">
        <w:rPr>
          <w:rFonts w:cs="Arial"/>
        </w:rPr>
        <w:t>obrony prawnej i sądowej, postępowania pojednawczego, mediacji,</w:t>
      </w:r>
    </w:p>
    <w:p w14:paraId="5B57DECB" w14:textId="77777777" w:rsidR="00840555" w:rsidRPr="0081083D" w:rsidRDefault="00840555" w:rsidP="00840555">
      <w:pPr>
        <w:numPr>
          <w:ilvl w:val="0"/>
          <w:numId w:val="10"/>
        </w:numPr>
        <w:spacing w:after="0" w:line="240" w:lineRule="auto"/>
        <w:jc w:val="both"/>
        <w:rPr>
          <w:rFonts w:cs="Arial"/>
        </w:rPr>
      </w:pPr>
      <w:r w:rsidRPr="0081083D">
        <w:rPr>
          <w:rFonts w:cs="Arial"/>
        </w:rPr>
        <w:t>kosztów dodatkowych wynikłych ze wzrostu cen,</w:t>
      </w:r>
    </w:p>
    <w:p w14:paraId="550AF720" w14:textId="77777777" w:rsidR="00840555" w:rsidRPr="0081083D" w:rsidRDefault="00840555" w:rsidP="00840555">
      <w:pPr>
        <w:numPr>
          <w:ilvl w:val="0"/>
          <w:numId w:val="10"/>
        </w:numPr>
        <w:spacing w:after="0" w:line="240" w:lineRule="auto"/>
        <w:jc w:val="both"/>
        <w:rPr>
          <w:rFonts w:cs="Arial"/>
        </w:rPr>
      </w:pPr>
      <w:r w:rsidRPr="0081083D">
        <w:rPr>
          <w:rFonts w:cs="Arial"/>
        </w:rPr>
        <w:t>tłumaczenia dokumentów niezbędnych do likwidacji szkody (decyzję o konieczności tłumaczenia podejmuje ubezpieczyciel),</w:t>
      </w:r>
    </w:p>
    <w:p w14:paraId="20B75740" w14:textId="77777777" w:rsidR="00840555" w:rsidRPr="0081083D" w:rsidRDefault="00840555" w:rsidP="00840555">
      <w:pPr>
        <w:numPr>
          <w:ilvl w:val="0"/>
          <w:numId w:val="10"/>
        </w:numPr>
        <w:spacing w:after="0" w:line="240" w:lineRule="auto"/>
        <w:jc w:val="both"/>
        <w:rPr>
          <w:rFonts w:cs="Arial"/>
        </w:rPr>
      </w:pPr>
      <w:r w:rsidRPr="0081083D">
        <w:rPr>
          <w:rFonts w:cs="Arial"/>
        </w:rPr>
        <w:t>uprzątnięcia miejsca ubezpieczenia po wystąpieniu szkody, usunięcia rumowiska, wyburzania, odgruzowywania, rozbiórki, wywiezienia pozostałości po szkodzie w związku z wystąpieniem zdarzenia losowego, objętego zakresem ubezpieczenia,</w:t>
      </w:r>
    </w:p>
    <w:p w14:paraId="349AF6CF" w14:textId="77777777" w:rsidR="00840555" w:rsidRPr="0081083D" w:rsidRDefault="00840555" w:rsidP="00840555">
      <w:pPr>
        <w:numPr>
          <w:ilvl w:val="0"/>
          <w:numId w:val="10"/>
        </w:numPr>
        <w:spacing w:after="0" w:line="240" w:lineRule="auto"/>
        <w:jc w:val="both"/>
        <w:rPr>
          <w:rFonts w:cs="Arial"/>
        </w:rPr>
      </w:pPr>
      <w:r w:rsidRPr="0081083D">
        <w:rPr>
          <w:rFonts w:cs="Arial"/>
        </w:rPr>
        <w:t>odkażenia lub oczyszczenia ubezpieczonego mienia (w tym mienia zanieczyszczonego</w:t>
      </w:r>
      <w:r>
        <w:rPr>
          <w:rFonts w:cs="Arial"/>
        </w:rPr>
        <w:br/>
      </w:r>
      <w:r w:rsidRPr="0081083D">
        <w:rPr>
          <w:rFonts w:cs="Arial"/>
        </w:rPr>
        <w:t xml:space="preserve"> lub zniszczonego na skutek wycieku amoniaku), pozostałości po szkodzie, usunięcia zanieczyszczeń gleby, wody lub powietrza oraz rekultywacji gruntów,</w:t>
      </w:r>
    </w:p>
    <w:p w14:paraId="37FB44C2" w14:textId="77777777" w:rsidR="00840555" w:rsidRPr="0081083D" w:rsidRDefault="00840555" w:rsidP="00840555">
      <w:pPr>
        <w:numPr>
          <w:ilvl w:val="0"/>
          <w:numId w:val="10"/>
        </w:numPr>
        <w:spacing w:after="0" w:line="240" w:lineRule="auto"/>
        <w:jc w:val="both"/>
        <w:rPr>
          <w:rFonts w:cs="Arial"/>
        </w:rPr>
      </w:pPr>
      <w:r w:rsidRPr="0081083D">
        <w:rPr>
          <w:rFonts w:cs="Arial"/>
        </w:rPr>
        <w:t>oczyszczenia kanałów i ścieków, odpływów itp.,</w:t>
      </w:r>
    </w:p>
    <w:p w14:paraId="3D898CFC" w14:textId="77777777" w:rsidR="00840555" w:rsidRDefault="00840555" w:rsidP="00840555">
      <w:pPr>
        <w:numPr>
          <w:ilvl w:val="0"/>
          <w:numId w:val="10"/>
        </w:numPr>
        <w:spacing w:after="0" w:line="240" w:lineRule="auto"/>
        <w:jc w:val="both"/>
        <w:rPr>
          <w:rFonts w:cs="Arial"/>
        </w:rPr>
      </w:pPr>
      <w:r w:rsidRPr="0081083D">
        <w:rPr>
          <w:rFonts w:cs="Arial"/>
        </w:rPr>
        <w:t xml:space="preserve">poleceń/nakazów/decyzji wydanych lub cofniętych przez stosowne władze lub w związku </w:t>
      </w:r>
      <w:r>
        <w:rPr>
          <w:rFonts w:cs="Arial"/>
        </w:rPr>
        <w:br/>
      </w:r>
      <w:r w:rsidRPr="0081083D">
        <w:rPr>
          <w:rFonts w:cs="Arial"/>
        </w:rPr>
        <w:t>z obowiązującymi przepisami prawa,</w:t>
      </w:r>
    </w:p>
    <w:p w14:paraId="60F27676" w14:textId="77777777" w:rsidR="00840555" w:rsidRPr="0081083D" w:rsidRDefault="00840555" w:rsidP="00840555">
      <w:pPr>
        <w:numPr>
          <w:ilvl w:val="0"/>
          <w:numId w:val="10"/>
        </w:numPr>
        <w:spacing w:after="0" w:line="240" w:lineRule="auto"/>
        <w:jc w:val="both"/>
        <w:rPr>
          <w:rFonts w:cs="Arial"/>
        </w:rPr>
      </w:pPr>
      <w:r w:rsidRPr="0081083D">
        <w:rPr>
          <w:rFonts w:cs="Arial"/>
        </w:rPr>
        <w:t>wynagrodzenia należnego podmiotom zarządzającym i nadzorującym prace mające na celu odtworzenie albo naprawę ubezpieczonego mienia,</w:t>
      </w:r>
    </w:p>
    <w:p w14:paraId="50B781AE" w14:textId="77777777" w:rsidR="00840555" w:rsidRPr="0081083D" w:rsidRDefault="00840555" w:rsidP="00840555">
      <w:pPr>
        <w:numPr>
          <w:ilvl w:val="0"/>
          <w:numId w:val="10"/>
        </w:numPr>
        <w:spacing w:after="0" w:line="240" w:lineRule="auto"/>
        <w:jc w:val="both"/>
        <w:rPr>
          <w:rFonts w:cs="Arial"/>
        </w:rPr>
      </w:pPr>
      <w:r w:rsidRPr="0081083D">
        <w:rPr>
          <w:rFonts w:cs="Arial"/>
        </w:rPr>
        <w:t>zwiększonych kosztów odtworzenia maszyn lub urządzeń wykonanych na specjalne zamówienie,</w:t>
      </w:r>
    </w:p>
    <w:p w14:paraId="2AF6D0DF" w14:textId="77777777" w:rsidR="00840555" w:rsidRPr="0081083D" w:rsidRDefault="00840555" w:rsidP="00840555">
      <w:pPr>
        <w:numPr>
          <w:ilvl w:val="0"/>
          <w:numId w:val="10"/>
        </w:numPr>
        <w:spacing w:after="0" w:line="240" w:lineRule="auto"/>
        <w:jc w:val="both"/>
        <w:rPr>
          <w:rFonts w:cs="Arial"/>
        </w:rPr>
      </w:pPr>
      <w:r w:rsidRPr="0081083D">
        <w:rPr>
          <w:rFonts w:cs="Arial"/>
        </w:rPr>
        <w:t>naprawy, wymiany, uzupełnienia zbiorników retencyjnych, gaśniczych, na wodę tryskaczową, innych,</w:t>
      </w:r>
    </w:p>
    <w:p w14:paraId="59B7BAA0" w14:textId="77777777" w:rsidR="00840555" w:rsidRPr="0081083D" w:rsidRDefault="00840555" w:rsidP="00840555">
      <w:pPr>
        <w:numPr>
          <w:ilvl w:val="0"/>
          <w:numId w:val="10"/>
        </w:numPr>
        <w:spacing w:after="0" w:line="240" w:lineRule="auto"/>
        <w:jc w:val="both"/>
        <w:rPr>
          <w:rFonts w:cs="Arial"/>
        </w:rPr>
      </w:pPr>
      <w:r w:rsidRPr="0081083D">
        <w:rPr>
          <w:rFonts w:cs="Arial"/>
        </w:rPr>
        <w:t>poszukiwania i usunięcia przyczyn szkody,</w:t>
      </w:r>
    </w:p>
    <w:p w14:paraId="787F6E21" w14:textId="77777777" w:rsidR="00840555" w:rsidRPr="0081083D" w:rsidRDefault="00840555" w:rsidP="00840555">
      <w:pPr>
        <w:numPr>
          <w:ilvl w:val="0"/>
          <w:numId w:val="10"/>
        </w:numPr>
        <w:spacing w:after="0" w:line="240" w:lineRule="auto"/>
        <w:jc w:val="both"/>
        <w:rPr>
          <w:rFonts w:cs="Arial"/>
        </w:rPr>
      </w:pPr>
      <w:r w:rsidRPr="0081083D">
        <w:rPr>
          <w:rFonts w:cs="Arial"/>
        </w:rPr>
        <w:t>poszukiwania i usunięcia przyczyny wycieków cieczy, par, gazów itp. (w tym licznikowe opłaty za wodę utraconą na skutek wycieku).</w:t>
      </w:r>
    </w:p>
    <w:p w14:paraId="4BB0D84E" w14:textId="77777777" w:rsidR="00840555" w:rsidRPr="00840555" w:rsidRDefault="00840555" w:rsidP="00840555">
      <w:pPr>
        <w:pStyle w:val="Akapitzlist"/>
        <w:tabs>
          <w:tab w:val="left" w:pos="0"/>
          <w:tab w:val="left" w:pos="142"/>
        </w:tabs>
        <w:ind w:left="644"/>
        <w:jc w:val="both"/>
        <w:rPr>
          <w:rFonts w:cs="Tahoma"/>
          <w:bCs/>
          <w:szCs w:val="18"/>
          <w:lang w:val="pl-PL"/>
        </w:rPr>
      </w:pPr>
      <w:r w:rsidRPr="00840555">
        <w:rPr>
          <w:rFonts w:cs="Arial"/>
          <w:lang w:val="pl-PL"/>
        </w:rPr>
        <w:t>Limit 10% wartości szkody, nie więcej niż 1.000.000 PLN ponad sumę ubezpieczenia. Limit nie dotyczy kosztów, o których mowa pod lit. b), jeśli podjęte działania skutecznie zapobiegły powstaniu szkody.</w:t>
      </w:r>
    </w:p>
    <w:p w14:paraId="5A670CF7" w14:textId="77777777" w:rsidR="00840555" w:rsidRPr="00840555" w:rsidRDefault="00840555" w:rsidP="00840555">
      <w:pPr>
        <w:pStyle w:val="Akapitzlist"/>
        <w:tabs>
          <w:tab w:val="left" w:pos="0"/>
          <w:tab w:val="left" w:pos="142"/>
        </w:tabs>
        <w:spacing w:after="200"/>
        <w:ind w:left="786"/>
        <w:jc w:val="both"/>
        <w:rPr>
          <w:rFonts w:cs="Tahoma"/>
          <w:bCs/>
          <w:szCs w:val="18"/>
          <w:lang w:val="pl-PL"/>
        </w:rPr>
      </w:pPr>
    </w:p>
    <w:p w14:paraId="3E693766" w14:textId="77777777" w:rsidR="00840555" w:rsidRPr="0081083D" w:rsidRDefault="00840555" w:rsidP="00840555">
      <w:pPr>
        <w:spacing w:line="240" w:lineRule="auto"/>
        <w:jc w:val="both"/>
        <w:rPr>
          <w:rFonts w:cs="Arial"/>
        </w:rPr>
      </w:pPr>
      <w:r w:rsidRPr="0081083D">
        <w:rPr>
          <w:rFonts w:cs="Arial"/>
          <w:b/>
        </w:rPr>
        <w:t>(21) Klauzula składowania mienia</w:t>
      </w:r>
      <w:r w:rsidRPr="0081083D">
        <w:rPr>
          <w:rFonts w:cs="Arial"/>
        </w:rPr>
        <w:t xml:space="preserve"> – dopuszcza się eksponowanie i składowanie mienia bezpośrednio na podłożu lub poniżej poziomu gruntu. Nie mają zastosowania zapisy OWU dotyczące wymogów składowania.</w:t>
      </w:r>
    </w:p>
    <w:p w14:paraId="657F0B76" w14:textId="77777777" w:rsidR="00840555" w:rsidRPr="0081083D" w:rsidRDefault="00840555" w:rsidP="00840555">
      <w:pPr>
        <w:spacing w:line="240" w:lineRule="auto"/>
        <w:jc w:val="both"/>
        <w:rPr>
          <w:rFonts w:cs="Arial"/>
          <w:b/>
        </w:rPr>
      </w:pPr>
      <w:r w:rsidRPr="0081083D">
        <w:rPr>
          <w:rFonts w:cs="Arial"/>
          <w:b/>
        </w:rPr>
        <w:t>(22) Klauzula szkód w mieniu w ramach transportu wewnętrznego</w:t>
      </w:r>
      <w:r w:rsidRPr="0081083D">
        <w:rPr>
          <w:rFonts w:cs="Arial"/>
        </w:rPr>
        <w:t xml:space="preserve"> – ochronę ubezpieczeniową rozszerza się o szkody powstałe podczas przewozu mienia w ramach transportu wewnętrznego </w:t>
      </w:r>
      <w:r>
        <w:rPr>
          <w:rFonts w:cs="Arial"/>
        </w:rPr>
        <w:br/>
      </w:r>
      <w:r w:rsidRPr="0081083D">
        <w:rPr>
          <w:rFonts w:cs="Arial"/>
        </w:rPr>
        <w:t>w obrębie tej samej lokalizacji, pomiędzy lokalizacjami lub miejscami prowadzonej przez ubezpieczającego działalności. Mienie objęte jest także ochroną w trakcie załadunku, przeładunku, doładunku, rozładunku.</w:t>
      </w:r>
      <w:r>
        <w:rPr>
          <w:rFonts w:cs="Arial"/>
        </w:rPr>
        <w:t xml:space="preserve"> </w:t>
      </w:r>
      <w:r w:rsidRPr="002B00E6">
        <w:rPr>
          <w:rFonts w:cs="Arial"/>
        </w:rPr>
        <w:t>Limit 500</w:t>
      </w:r>
      <w:r>
        <w:rPr>
          <w:rFonts w:cs="Arial"/>
        </w:rPr>
        <w:t>.</w:t>
      </w:r>
      <w:r w:rsidRPr="002B00E6">
        <w:rPr>
          <w:rFonts w:cs="Arial"/>
        </w:rPr>
        <w:t xml:space="preserve">000 </w:t>
      </w:r>
      <w:r>
        <w:rPr>
          <w:rFonts w:cs="Arial"/>
        </w:rPr>
        <w:t>PLN</w:t>
      </w:r>
      <w:r w:rsidRPr="002B00E6">
        <w:rPr>
          <w:rFonts w:cs="Arial"/>
        </w:rPr>
        <w:t xml:space="preserve"> na jedno i wszystkie zdarzenia w okresie ubezpieczenia.</w:t>
      </w:r>
    </w:p>
    <w:p w14:paraId="55E78BAD" w14:textId="77777777" w:rsidR="00840555" w:rsidRPr="0081083D" w:rsidRDefault="00840555" w:rsidP="00840555">
      <w:pPr>
        <w:spacing w:line="240" w:lineRule="auto"/>
        <w:jc w:val="both"/>
        <w:rPr>
          <w:rFonts w:cs="Arial"/>
          <w:iCs/>
        </w:rPr>
      </w:pPr>
      <w:r w:rsidRPr="0081083D">
        <w:rPr>
          <w:rFonts w:cs="Arial"/>
          <w:b/>
        </w:rPr>
        <w:t>(23) Klauzula przewłaszczenia na zabezpieczenie</w:t>
      </w:r>
      <w:r w:rsidRPr="0081083D">
        <w:rPr>
          <w:rFonts w:cs="Arial"/>
        </w:rPr>
        <w:t xml:space="preserve"> – w przypadku przejścia własności ubezpieczonego mienia na bank, leasing, ubezpieczyciela lub inny podmiot (art. 823 § 2 k.c.) ochrona ubezpieczeniowa nie wygasa, lecz jest kontynuowana na dotychczasowych warunkach, chyba że strony umówią się inaczej.</w:t>
      </w:r>
      <w:r w:rsidRPr="0081083D">
        <w:rPr>
          <w:rFonts w:cs="Arial"/>
          <w:iCs/>
        </w:rPr>
        <w:t xml:space="preserve"> Ochrona ubezpieczeniowa nie wygasa również na skutek powrotnego przejścia na ubezpieczającego własności mienia przewłaszczonego w wyniku spłaty długu.</w:t>
      </w:r>
    </w:p>
    <w:p w14:paraId="2EE65593" w14:textId="77777777" w:rsidR="00840555" w:rsidRPr="0081083D" w:rsidRDefault="00840555" w:rsidP="00840555">
      <w:pPr>
        <w:spacing w:line="240" w:lineRule="auto"/>
        <w:jc w:val="both"/>
        <w:rPr>
          <w:rFonts w:cs="Arial"/>
        </w:rPr>
      </w:pPr>
      <w:r w:rsidRPr="0081083D">
        <w:rPr>
          <w:rFonts w:cs="Arial"/>
          <w:b/>
        </w:rPr>
        <w:lastRenderedPageBreak/>
        <w:t>(24) Klauzula szybkiej likwidacji dla sprzętu elektronicznego</w:t>
      </w:r>
      <w:r w:rsidRPr="0081083D">
        <w:rPr>
          <w:rFonts w:cs="Arial"/>
        </w:rPr>
        <w:t xml:space="preserve"> – w przypadku awarii lub uszkodzenia sprzętu elektronicznego, którego natychmiastowe przywrócenie do pracy jest konieczne dla normalnego funkcjonowania zakładu, ubezpieczający po zawiadomieniu ubezpieczyciela o szkodzie może przystąpić do samodzielnej likwidacji szkody sporządzając stosowny protokół opisujący przyczynę zdarzenia, rozmiary szkody, sposób naprawy oraz wyliczenie wartości szkody. Protokół będzie podstawą do wyliczenia odszkodowania przez ubezpieczyciela. W przypadku awarii sprzętu elektronicznego, którego natychmiastowe przywrócenie do pracy nie jest konieczne dla normalnego funkcjonowania zakładu, ubezpiecz</w:t>
      </w:r>
      <w:r>
        <w:rPr>
          <w:rFonts w:cs="Arial"/>
        </w:rPr>
        <w:t>ony</w:t>
      </w:r>
      <w:r w:rsidRPr="0081083D">
        <w:rPr>
          <w:rFonts w:cs="Arial"/>
        </w:rPr>
        <w:t xml:space="preserve"> po zgłoszeniu szkody może przystąpić do samodzielnej likwidacji szkody na powyższych zasadach jedynie w przypadku, gdy ubezpieczyciel nie rozpoczął likwidacji szkody w ciągu 2 dni od daty zawiadomienia o szkodzie.</w:t>
      </w:r>
    </w:p>
    <w:p w14:paraId="556DA731" w14:textId="77777777" w:rsidR="00840555" w:rsidRPr="0081083D" w:rsidRDefault="00840555" w:rsidP="00840555">
      <w:pPr>
        <w:spacing w:line="240" w:lineRule="auto"/>
        <w:jc w:val="both"/>
        <w:rPr>
          <w:rFonts w:cs="Arial"/>
        </w:rPr>
      </w:pPr>
      <w:r w:rsidRPr="0081083D">
        <w:rPr>
          <w:rFonts w:cs="Arial"/>
          <w:b/>
        </w:rPr>
        <w:t>(25) Klauzula likwidacji drobnych szkód</w:t>
      </w:r>
      <w:r w:rsidRPr="0081083D">
        <w:rPr>
          <w:rFonts w:cs="Arial"/>
        </w:rPr>
        <w:t xml:space="preserve"> – w przypadku szkody, której szacowana całkowita wartość powyżej franszyzy redukcyjnej/udziału własnego określonego w umowie ubezpieczenia nie przekracza 10</w:t>
      </w:r>
      <w:r>
        <w:rPr>
          <w:rFonts w:cs="Arial"/>
        </w:rPr>
        <w:t>.</w:t>
      </w:r>
      <w:r w:rsidRPr="0081083D">
        <w:rPr>
          <w:rFonts w:cs="Arial"/>
        </w:rPr>
        <w:t>000</w:t>
      </w:r>
      <w:r>
        <w:rPr>
          <w:rFonts w:cs="Arial"/>
        </w:rPr>
        <w:t xml:space="preserve"> PLN</w:t>
      </w:r>
      <w:r w:rsidRPr="0081083D">
        <w:rPr>
          <w:rFonts w:cs="Arial"/>
        </w:rPr>
        <w:t xml:space="preserve"> na dzień jej powstania, ubezpieczający ma prawo przystąpić, natychmiast po zgłoszeniu szkody, do likwidacji takiej szkody zachowując części uszkodzone oraz sporządzając uprzednio pisemny protokół o okolicznościach powstania takiej szkody oraz jej skutkach (wraz z dokumentacją zdjęciową). Protokół powinien zawierać podpisy przedstawicieli ubezpieczającego, świadka zdarzenia lub osoby, która wykryła szkodę oraz, jeśli to możliwe, oświadczenie sprawcy szkody. Niezależnie od powyższych postanowień, ubezpieczający ma obowiązek powiadomić o szkodzie odpowiednie organa Policji </w:t>
      </w:r>
      <w:r>
        <w:rPr>
          <w:rFonts w:cs="Arial"/>
        </w:rPr>
        <w:br/>
      </w:r>
      <w:r w:rsidRPr="0081083D">
        <w:rPr>
          <w:rFonts w:cs="Arial"/>
        </w:rPr>
        <w:t>w przypadku, kiedy szkoda jest wynikiem lub posiada znamiona przestępstwa.</w:t>
      </w:r>
    </w:p>
    <w:p w14:paraId="6AB3E4E1" w14:textId="77777777" w:rsidR="00840555" w:rsidRPr="0081083D" w:rsidRDefault="00840555" w:rsidP="00840555">
      <w:pPr>
        <w:spacing w:line="240" w:lineRule="auto"/>
        <w:jc w:val="both"/>
        <w:rPr>
          <w:rFonts w:cs="Arial"/>
        </w:rPr>
      </w:pPr>
      <w:r w:rsidRPr="0081083D">
        <w:rPr>
          <w:rFonts w:cs="Arial"/>
          <w:b/>
        </w:rPr>
        <w:t>(26) Klauzula przeoczenia</w:t>
      </w:r>
      <w:r w:rsidRPr="0081083D">
        <w:rPr>
          <w:rFonts w:cs="Arial"/>
        </w:rPr>
        <w:t xml:space="preserve"> – ubezpieczenie obejmuje szkody w mieniu omyłkowo nie zgłoszonym </w:t>
      </w:r>
      <w:r>
        <w:rPr>
          <w:rFonts w:cs="Arial"/>
        </w:rPr>
        <w:br/>
      </w:r>
      <w:r w:rsidRPr="0081083D">
        <w:rPr>
          <w:rFonts w:cs="Arial"/>
        </w:rPr>
        <w:t>do ubezpieczenia. Niedopatrzenia zgłoszenia lub zgłoszenie nieprawidłowe czy opóźnione, jak też uchybienia powinności ubezpieczyciel nie może uznać za winę ubezpiecz</w:t>
      </w:r>
      <w:r>
        <w:rPr>
          <w:rFonts w:cs="Arial"/>
        </w:rPr>
        <w:t>one</w:t>
      </w:r>
      <w:r w:rsidRPr="0081083D">
        <w:rPr>
          <w:rFonts w:cs="Arial"/>
        </w:rPr>
        <w:t>go, chyba że jest to czyn umyślny</w:t>
      </w:r>
      <w:r>
        <w:rPr>
          <w:rFonts w:cs="Arial"/>
        </w:rPr>
        <w:t>.</w:t>
      </w:r>
    </w:p>
    <w:p w14:paraId="12608307" w14:textId="77777777" w:rsidR="00840555" w:rsidRPr="0081083D" w:rsidRDefault="00840555" w:rsidP="00840555">
      <w:pPr>
        <w:spacing w:line="240" w:lineRule="auto"/>
        <w:jc w:val="both"/>
        <w:rPr>
          <w:rFonts w:cs="Arial"/>
        </w:rPr>
      </w:pPr>
      <w:r w:rsidRPr="0081083D">
        <w:rPr>
          <w:rFonts w:cs="Arial"/>
          <w:b/>
        </w:rPr>
        <w:t>(27) Klauzula wykonawców zewnętrznych</w:t>
      </w:r>
      <w:r w:rsidRPr="0081083D">
        <w:rPr>
          <w:rFonts w:cs="Arial"/>
        </w:rPr>
        <w:t xml:space="preserve"> – jeżeli przy robotach budowlano-montażowych w miejscu ubezpieczenia, wykonujące te roboty osoby naruszą przepisy bezpieczeństwa bez wiedzy lub wbrew woli ubezpiecz</w:t>
      </w:r>
      <w:r>
        <w:rPr>
          <w:rFonts w:cs="Arial"/>
        </w:rPr>
        <w:t>onego</w:t>
      </w:r>
      <w:r w:rsidRPr="0081083D">
        <w:rPr>
          <w:rFonts w:cs="Arial"/>
        </w:rPr>
        <w:t>, ubezpiecz</w:t>
      </w:r>
      <w:r>
        <w:rPr>
          <w:rFonts w:cs="Arial"/>
        </w:rPr>
        <w:t>ony</w:t>
      </w:r>
      <w:r w:rsidRPr="0081083D">
        <w:rPr>
          <w:rFonts w:cs="Arial"/>
        </w:rPr>
        <w:t xml:space="preserve"> nie jest za to odpowiedzialny.</w:t>
      </w:r>
    </w:p>
    <w:p w14:paraId="1B8F5D9D" w14:textId="77777777" w:rsidR="00840555" w:rsidRPr="0081083D" w:rsidRDefault="00840555" w:rsidP="00840555">
      <w:pPr>
        <w:spacing w:line="240" w:lineRule="auto"/>
        <w:jc w:val="both"/>
        <w:rPr>
          <w:rFonts w:cs="Arial"/>
        </w:rPr>
      </w:pPr>
      <w:r w:rsidRPr="0081083D">
        <w:rPr>
          <w:rFonts w:cs="Arial"/>
          <w:b/>
        </w:rPr>
        <w:t>(29) Klauzula okolicznościowa</w:t>
      </w:r>
      <w:r w:rsidRPr="0081083D">
        <w:rPr>
          <w:rFonts w:cs="Arial"/>
        </w:rPr>
        <w:t xml:space="preserve"> – ubezpieczyciel zobowiązany jest samodzielnie prowadzić postępowanie zmierzające do wyjaśnienia okoliczności związanych ze szkodą (np.: ustalenie przebiegu zdarzenia, ustalenie osoby sprawcy) i wypłacić należne odszkodowanie zgodnie z ogólnie przyjętymi zasadami, bez konieczności oczekiwania na prawomocne postanowienie właściwego organu.</w:t>
      </w:r>
    </w:p>
    <w:p w14:paraId="6607211B" w14:textId="77777777" w:rsidR="00840555" w:rsidRPr="0081083D" w:rsidRDefault="00840555" w:rsidP="00840555">
      <w:pPr>
        <w:spacing w:line="240" w:lineRule="auto"/>
        <w:jc w:val="both"/>
        <w:rPr>
          <w:rFonts w:cs="Arial"/>
        </w:rPr>
      </w:pPr>
      <w:r w:rsidRPr="0081083D">
        <w:rPr>
          <w:rFonts w:cs="Arial"/>
          <w:b/>
        </w:rPr>
        <w:t>(30) Klauzula prawa do regresu</w:t>
      </w:r>
      <w:r w:rsidRPr="0081083D">
        <w:rPr>
          <w:rFonts w:cs="Arial"/>
        </w:rPr>
        <w:t xml:space="preserve"> – na ubezpieczyciela przechodzi prawo regresu w stosunku do osoby trzeciej lub osoby, za którą odpowiedzialność ponosi ubezpieczający tylko za zgodą ubezpieczającego. Ubezpieczający udzieli takiej zgody zawsze, gdy szkoda była spowodowana umyślnie. Dotyczy także szkód spowodowanych w trakcie wykonywania obowiązków służbowych przez pracowników ubezpieczającego. Jeżeli ubezpieczający zrzekł się roszczenia przeciwko sprawcy szkody, którym jest ubezpieczony, ubezpieczyciel uzna ten fakt i nie będzie dochodził od niego regresu. Zrzeczenie to nie wpłynie również na zakres i wysokość odszkodowania przysługującego ubezpieczającemu.</w:t>
      </w:r>
    </w:p>
    <w:p w14:paraId="3A8DF72E" w14:textId="77777777" w:rsidR="00840555" w:rsidRPr="0081083D" w:rsidRDefault="00840555" w:rsidP="00840555">
      <w:pPr>
        <w:spacing w:line="240" w:lineRule="auto"/>
        <w:jc w:val="both"/>
        <w:rPr>
          <w:rFonts w:cs="Arial"/>
        </w:rPr>
      </w:pPr>
      <w:r w:rsidRPr="0081083D">
        <w:rPr>
          <w:rFonts w:cs="Arial"/>
          <w:b/>
        </w:rPr>
        <w:t>(31) Klauzula likwidacyjna w środkach obrotowych</w:t>
      </w:r>
      <w:r w:rsidRPr="0081083D">
        <w:rPr>
          <w:rFonts w:cs="Arial"/>
        </w:rPr>
        <w:t xml:space="preserve"> – odszkodowanie wypłacane jest w wartości odpowiadającej kosztom produkcji, zakupu lub cenie rynkowej, powiększonej o 5%. Nie ma zastosowania zasada niedoubezpieczenia i zasada proporcji.</w:t>
      </w:r>
    </w:p>
    <w:p w14:paraId="7350688A" w14:textId="0BDD27C7" w:rsidR="00840555" w:rsidRDefault="00840555" w:rsidP="00840555">
      <w:pPr>
        <w:spacing w:line="240" w:lineRule="auto"/>
        <w:jc w:val="both"/>
        <w:rPr>
          <w:rFonts w:cs="Arial"/>
        </w:rPr>
      </w:pPr>
      <w:r w:rsidRPr="0081083D">
        <w:rPr>
          <w:rFonts w:cs="Arial"/>
          <w:b/>
        </w:rPr>
        <w:t xml:space="preserve">(32) Klauzula likwidacyjna w środkach trwałych </w:t>
      </w:r>
      <w:r w:rsidRPr="0081083D">
        <w:rPr>
          <w:rFonts w:cs="Arial"/>
        </w:rPr>
        <w:t>–</w:t>
      </w:r>
      <w:r>
        <w:rPr>
          <w:rFonts w:cs="Arial"/>
        </w:rPr>
        <w:t xml:space="preserve"> </w:t>
      </w:r>
      <w:r w:rsidRPr="0081083D">
        <w:rPr>
          <w:rFonts w:cs="Arial"/>
        </w:rPr>
        <w:t>Odszkodowanie za mienie, którego suma ubezpieczenia została zadeklarowana do ubezpieczenia w wartości księgowej brutto, będzie wypłacone w wartości księgowej brutto, niezależnie od</w:t>
      </w:r>
      <w:r w:rsidR="00634A8F">
        <w:rPr>
          <w:rFonts w:cs="Arial"/>
        </w:rPr>
        <w:t xml:space="preserve"> wieku,</w:t>
      </w:r>
      <w:r w:rsidRPr="0081083D">
        <w:rPr>
          <w:rFonts w:cs="Arial"/>
        </w:rPr>
        <w:t xml:space="preserve"> stopnia umorzenia</w:t>
      </w:r>
      <w:r w:rsidR="00634A8F">
        <w:rPr>
          <w:rFonts w:cs="Arial"/>
        </w:rPr>
        <w:t xml:space="preserve"> (amortyzacji) oraz technicznego i faktycznego zużycia</w:t>
      </w:r>
      <w:r w:rsidRPr="0081083D">
        <w:rPr>
          <w:rFonts w:cs="Arial"/>
        </w:rPr>
        <w:t xml:space="preserve">. Klauzula ma zastosowanie zarówno w szkodach częściowych jak </w:t>
      </w:r>
      <w:r w:rsidR="00634A8F">
        <w:rPr>
          <w:rFonts w:cs="Arial"/>
        </w:rPr>
        <w:br/>
      </w:r>
      <w:r w:rsidRPr="0081083D">
        <w:rPr>
          <w:rFonts w:cs="Arial"/>
        </w:rPr>
        <w:t xml:space="preserve">i całkowitych. Ubezpieczający ma prawo do nieodtwarzania uszkodzonego mienia. W takim przypadku ubezpieczyciel wypłaci odszkodowanie zgodnie ze sposobem deklaracji mienia, niezależnie </w:t>
      </w:r>
      <w:r w:rsidRPr="0081083D">
        <w:rPr>
          <w:rFonts w:cs="Arial"/>
        </w:rPr>
        <w:lastRenderedPageBreak/>
        <w:t>od stopnia faktycznego umorzenia lub stopnia zużycia w taki sposób, jakby mienie to zostało odtworzone. Nie ma zastosowania zasada niedoubezpieczenia i zasada proporcji.</w:t>
      </w:r>
    </w:p>
    <w:p w14:paraId="6EC76540" w14:textId="77777777" w:rsidR="00840555" w:rsidRPr="0081083D" w:rsidRDefault="00840555" w:rsidP="00840555">
      <w:pPr>
        <w:spacing w:line="240" w:lineRule="auto"/>
        <w:jc w:val="both"/>
        <w:rPr>
          <w:rFonts w:cs="Arial"/>
        </w:rPr>
      </w:pPr>
      <w:r w:rsidRPr="0081083D">
        <w:rPr>
          <w:rFonts w:cs="Arial"/>
          <w:b/>
        </w:rPr>
        <w:t>(35) Klauzula przejściowego odchylenia w stosunku do przepisów bezpieczeństwa</w:t>
      </w:r>
      <w:r w:rsidRPr="0081083D">
        <w:rPr>
          <w:rFonts w:cs="Arial"/>
        </w:rPr>
        <w:t xml:space="preserve"> – ewentualne przejściowe odchylenie od przepisów bezpieczeństwa i przepisów zakładowych przy robotach budowlano-montażowych w miejscu ubezpieczenia nie jest uważane za naruszenie tych przepisów, </w:t>
      </w:r>
      <w:r>
        <w:rPr>
          <w:rFonts w:cs="Arial"/>
        </w:rPr>
        <w:br/>
      </w:r>
      <w:r w:rsidRPr="0081083D">
        <w:rPr>
          <w:rFonts w:cs="Arial"/>
        </w:rPr>
        <w:t>o ile jest spowodowane przyczynami technicznymi a roboty prowadzone są z należytą starannością. Wzrost ryzyka spowodowany robotami nie jest uważany za wykroczenie.</w:t>
      </w:r>
    </w:p>
    <w:p w14:paraId="72843079" w14:textId="77777777" w:rsidR="00840555" w:rsidRPr="0081083D" w:rsidRDefault="00840555" w:rsidP="00840555">
      <w:pPr>
        <w:spacing w:line="240" w:lineRule="auto"/>
        <w:jc w:val="both"/>
        <w:rPr>
          <w:rFonts w:cs="Arial"/>
          <w:b/>
        </w:rPr>
      </w:pPr>
      <w:r w:rsidRPr="0081083D">
        <w:rPr>
          <w:rFonts w:cs="Arial"/>
          <w:b/>
        </w:rPr>
        <w:t>(37) Klauzula pierwszeństwa warunków ubezpieczenia w stosunku do klauzul dodatkowych</w:t>
      </w:r>
      <w:r w:rsidRPr="0081083D">
        <w:rPr>
          <w:rFonts w:cs="Arial"/>
        </w:rPr>
        <w:t xml:space="preserve"> – jeżeli warunki ubezpieczenia przewidują zapisy korzystniejsze dla ubezpieczającego niż klauzule dodatkowe, pierwszeństwo mają warunki ubezpieczenia.</w:t>
      </w:r>
    </w:p>
    <w:p w14:paraId="54448545" w14:textId="77777777" w:rsidR="00840555" w:rsidRPr="0081083D" w:rsidRDefault="00840555" w:rsidP="00840555">
      <w:pPr>
        <w:spacing w:line="240" w:lineRule="auto"/>
        <w:jc w:val="both"/>
        <w:rPr>
          <w:rFonts w:cs="Arial"/>
        </w:rPr>
      </w:pPr>
      <w:r w:rsidRPr="0081083D">
        <w:rPr>
          <w:rFonts w:cs="Arial"/>
          <w:b/>
        </w:rPr>
        <w:t>(38) Klauzula ubezpieczenia mienia znajdującego się czasowo poza lokalizacją</w:t>
      </w:r>
      <w:r w:rsidRPr="0081083D">
        <w:rPr>
          <w:rFonts w:cs="Arial"/>
        </w:rPr>
        <w:t xml:space="preserve"> – ubezpieczyciel ponosi odpowiedzialność za szkody powstałe w ubezpieczonym mieniu, znajdującym się czasowo w miejscu innym, niż miejsce ubezpieczenia określone w umowie ubezpieczenia. Zakres terytorialny ograniczony jest do terytorium RP. Limit 1</w:t>
      </w:r>
      <w:r>
        <w:rPr>
          <w:rFonts w:cs="Arial"/>
        </w:rPr>
        <w:t>.</w:t>
      </w:r>
      <w:r w:rsidRPr="0081083D">
        <w:rPr>
          <w:rFonts w:cs="Arial"/>
        </w:rPr>
        <w:t>000</w:t>
      </w:r>
      <w:r>
        <w:rPr>
          <w:rFonts w:cs="Arial"/>
        </w:rPr>
        <w:t>.000 PLN</w:t>
      </w:r>
      <w:r w:rsidRPr="0081083D">
        <w:rPr>
          <w:rFonts w:cs="Arial"/>
        </w:rPr>
        <w:t xml:space="preserve"> na jedno i wszystkie zdarzenia w okresie ubezpieczenia.</w:t>
      </w:r>
    </w:p>
    <w:p w14:paraId="63B996E2" w14:textId="77777777" w:rsidR="00840555" w:rsidRPr="0081083D" w:rsidRDefault="00840555" w:rsidP="00840555">
      <w:pPr>
        <w:spacing w:line="240" w:lineRule="auto"/>
        <w:jc w:val="both"/>
        <w:rPr>
          <w:rFonts w:cs="Arial"/>
        </w:rPr>
      </w:pPr>
      <w:r w:rsidRPr="0081083D">
        <w:rPr>
          <w:rFonts w:cs="Arial"/>
          <w:b/>
        </w:rPr>
        <w:t>(40) Klauzula warunków i stawek</w:t>
      </w:r>
      <w:r w:rsidRPr="0081083D">
        <w:rPr>
          <w:rFonts w:cs="Arial"/>
        </w:rPr>
        <w:t xml:space="preserve"> – w przypadku doubezpieczenia, uzupełnienia lub podwyższenia sumy ubezpieczenia/gwarancyjnej lub limitu w okresie ubezpieczenia zastosowanie mieć będą warunki umowy ubezpieczenia oraz stawki obowiązujące w umowie ubezpieczenia w dniu dokonywania zmiany, chyba że zastosowane pierwotnie warunki lub stawki są korzystniejsze dla ubezpieczającego.</w:t>
      </w:r>
    </w:p>
    <w:p w14:paraId="61DE4EBD" w14:textId="77777777" w:rsidR="00840555" w:rsidRPr="0081083D" w:rsidRDefault="00840555" w:rsidP="00840555">
      <w:pPr>
        <w:spacing w:line="240" w:lineRule="auto"/>
        <w:jc w:val="both"/>
        <w:rPr>
          <w:rFonts w:cs="Arial"/>
        </w:rPr>
      </w:pPr>
    </w:p>
    <w:p w14:paraId="287FA56B" w14:textId="77777777" w:rsidR="00840555" w:rsidRPr="0081083D" w:rsidRDefault="00840555" w:rsidP="00840555">
      <w:pPr>
        <w:spacing w:line="276" w:lineRule="auto"/>
        <w:jc w:val="both"/>
        <w:rPr>
          <w:rFonts w:cs="Arial"/>
        </w:rPr>
      </w:pPr>
      <w:r w:rsidRPr="0081083D">
        <w:rPr>
          <w:rFonts w:cs="Arial"/>
          <w:b/>
        </w:rPr>
        <w:t>(41) Klauzula odchylenia w stosunku do przepisów bezpieczeństwa</w:t>
      </w:r>
      <w:r w:rsidRPr="0081083D">
        <w:rPr>
          <w:rFonts w:cs="Arial"/>
        </w:rPr>
        <w:t xml:space="preserve"> – odchylenie w stosunku </w:t>
      </w:r>
      <w:r>
        <w:rPr>
          <w:rFonts w:cs="Arial"/>
        </w:rPr>
        <w:br/>
      </w:r>
      <w:r w:rsidRPr="0081083D">
        <w:rPr>
          <w:rFonts w:cs="Arial"/>
        </w:rPr>
        <w:t>do przepisów bezpieczeństwa, potwierdzone przez odpowiednie służby, nie narusza obowiązku wypłaty odszkodowania.</w:t>
      </w:r>
    </w:p>
    <w:p w14:paraId="43F9BDE8" w14:textId="75B35676" w:rsidR="00840555" w:rsidRDefault="00840555" w:rsidP="00840555">
      <w:pPr>
        <w:spacing w:line="240" w:lineRule="auto"/>
        <w:jc w:val="both"/>
        <w:rPr>
          <w:rFonts w:cs="Arial"/>
        </w:rPr>
      </w:pPr>
      <w:r w:rsidRPr="0081083D">
        <w:rPr>
          <w:rFonts w:cs="Arial"/>
          <w:b/>
        </w:rPr>
        <w:t>(42) Klauzula wycieku</w:t>
      </w:r>
      <w:r w:rsidRPr="0081083D">
        <w:rPr>
          <w:rFonts w:cs="Arial"/>
        </w:rPr>
        <w:t xml:space="preserve">– </w:t>
      </w:r>
      <w:r w:rsidRPr="0096370E">
        <w:rPr>
          <w:rFonts w:cs="Tahoma"/>
          <w:bCs/>
          <w:szCs w:val="18"/>
        </w:rPr>
        <w:t xml:space="preserve">ochronę ubezpieczeniową rozszerza się o ryzyko utraty surowców, półproduktów, produktów, środków obrotowych spowodowane wyciekiem ze zbiorników lub instalacji. Ochroną ubezpieczeniową objęte są także szkody spowodowane wyciekiem, usuwaniem substancji będących przedmiotem wycieku oraz szkody w mieniu otaczającym. </w:t>
      </w:r>
      <w:r w:rsidRPr="0081083D">
        <w:rPr>
          <w:rFonts w:cs="Arial"/>
        </w:rPr>
        <w:t>Limit 100</w:t>
      </w:r>
      <w:r>
        <w:rPr>
          <w:rFonts w:cs="Arial"/>
        </w:rPr>
        <w:t>.</w:t>
      </w:r>
      <w:r w:rsidRPr="0081083D">
        <w:rPr>
          <w:rFonts w:cs="Arial"/>
        </w:rPr>
        <w:t xml:space="preserve">000 </w:t>
      </w:r>
      <w:r>
        <w:rPr>
          <w:rFonts w:cs="Arial"/>
        </w:rPr>
        <w:t>PLN</w:t>
      </w:r>
      <w:r w:rsidRPr="0081083D">
        <w:rPr>
          <w:rFonts w:cs="Arial"/>
        </w:rPr>
        <w:t xml:space="preserve"> </w:t>
      </w:r>
      <w:r>
        <w:rPr>
          <w:rFonts w:cs="Arial"/>
        </w:rPr>
        <w:br/>
      </w:r>
      <w:r w:rsidRPr="0081083D">
        <w:rPr>
          <w:rFonts w:cs="Arial"/>
        </w:rPr>
        <w:t>na je</w:t>
      </w:r>
      <w:r>
        <w:rPr>
          <w:rFonts w:cs="Arial"/>
        </w:rPr>
        <w:t>d</w:t>
      </w:r>
      <w:r w:rsidRPr="0081083D">
        <w:rPr>
          <w:rFonts w:cs="Arial"/>
        </w:rPr>
        <w:t>no i wszystkie zdarzenia w okresie ubezpieczenia.</w:t>
      </w:r>
    </w:p>
    <w:p w14:paraId="5EF7446C" w14:textId="77777777" w:rsidR="00840555" w:rsidRDefault="00840555" w:rsidP="00840555">
      <w:pPr>
        <w:spacing w:line="276" w:lineRule="auto"/>
        <w:jc w:val="both"/>
        <w:rPr>
          <w:rFonts w:cs="Arial"/>
        </w:rPr>
      </w:pPr>
      <w:r w:rsidRPr="0081083D">
        <w:rPr>
          <w:rFonts w:cs="Arial"/>
          <w:b/>
        </w:rPr>
        <w:t>(44) Klauzula remontowa</w:t>
      </w:r>
      <w:r w:rsidRPr="0081083D">
        <w:rPr>
          <w:rFonts w:cs="Arial"/>
        </w:rPr>
        <w:t xml:space="preserve"> – ubezpieczyciel odpowiada za szkody, które wystąpią podczas realizacji zwyczajowo przyjętych robót remontowo-naprawczych celem utrzymania, modernizacji bądź poprawy stanu technicznego posiadanego majątku, w tym budynków i infrastruktury. Limit 100</w:t>
      </w:r>
      <w:r>
        <w:rPr>
          <w:rFonts w:cs="Arial"/>
        </w:rPr>
        <w:t>.</w:t>
      </w:r>
      <w:r w:rsidRPr="0081083D">
        <w:rPr>
          <w:rFonts w:cs="Arial"/>
        </w:rPr>
        <w:t xml:space="preserve">000 </w:t>
      </w:r>
      <w:r>
        <w:rPr>
          <w:rFonts w:cs="Arial"/>
        </w:rPr>
        <w:t>PLN</w:t>
      </w:r>
      <w:r w:rsidRPr="0081083D">
        <w:rPr>
          <w:rFonts w:cs="Arial"/>
        </w:rPr>
        <w:t xml:space="preserve"> na jedno i wszystkie zdarzenia w okresie ubezpieczenia.</w:t>
      </w:r>
    </w:p>
    <w:p w14:paraId="4F08C697" w14:textId="77777777" w:rsidR="00840555" w:rsidRPr="0081083D" w:rsidRDefault="00840555" w:rsidP="00840555">
      <w:pPr>
        <w:spacing w:line="276" w:lineRule="auto"/>
        <w:jc w:val="both"/>
        <w:rPr>
          <w:rFonts w:cs="Arial"/>
          <w:b/>
        </w:rPr>
      </w:pPr>
      <w:r w:rsidRPr="0081083D">
        <w:rPr>
          <w:rFonts w:cs="Arial"/>
          <w:b/>
        </w:rPr>
        <w:t>(50) Klauzula uznania</w:t>
      </w:r>
      <w:r w:rsidRPr="0081083D">
        <w:rPr>
          <w:rFonts w:cs="Arial"/>
        </w:rPr>
        <w:t xml:space="preserve"> – ubezpieczyciel uznaje, że przy zawarciu umowy ubezpieczenia znane mu były wszystkie okoliczności, które są znaczące dla oceny ryzyka.</w:t>
      </w:r>
    </w:p>
    <w:p w14:paraId="1EB76327" w14:textId="5FE24D8C" w:rsidR="00840555" w:rsidRDefault="00840555" w:rsidP="00840555">
      <w:pPr>
        <w:pStyle w:val="Nagwek"/>
        <w:tabs>
          <w:tab w:val="left" w:pos="708"/>
        </w:tabs>
        <w:jc w:val="both"/>
        <w:rPr>
          <w:rFonts w:asciiTheme="minorHAnsi" w:hAnsiTheme="minorHAnsi" w:cs="Arial"/>
          <w:lang w:val="pl-PL"/>
        </w:rPr>
      </w:pPr>
      <w:r w:rsidRPr="00840555">
        <w:rPr>
          <w:rFonts w:asciiTheme="minorHAnsi" w:hAnsiTheme="minorHAnsi" w:cs="Arial"/>
          <w:b/>
          <w:lang w:val="pl-PL"/>
        </w:rPr>
        <w:t>(55) Klauzula pozostawienia miejsca szkody bez zmian</w:t>
      </w:r>
      <w:r w:rsidRPr="00840555">
        <w:rPr>
          <w:rFonts w:asciiTheme="minorHAnsi" w:hAnsiTheme="minorHAnsi" w:cs="Arial"/>
          <w:lang w:val="pl-PL"/>
        </w:rPr>
        <w:t xml:space="preserve"> – ubezpieczający pozostawi miejsce szkody bez zmian do czasu przybycia przedstawiciela ubezpieczyciela, chyba że zmiana jest niezbędna w celu zabezpieczenia mienia pozostałego po szkodzie, zapobieżenia dalszym szkodom, zmniejszenia szkody lub ze względu na wymogi bezpieczeństwa. Ubezpieczyciel nie może powoływać się na to postanowienie, jeżeli nie rozpoczął likwidacji szkody w ciągu 2 dni od daty zawiadomienia o szkodzie.</w:t>
      </w:r>
    </w:p>
    <w:p w14:paraId="07C5CCA7" w14:textId="77777777" w:rsidR="006B12D0" w:rsidRPr="00840555" w:rsidRDefault="006B12D0" w:rsidP="00840555">
      <w:pPr>
        <w:pStyle w:val="Nagwek"/>
        <w:tabs>
          <w:tab w:val="left" w:pos="708"/>
        </w:tabs>
        <w:jc w:val="both"/>
        <w:rPr>
          <w:rFonts w:asciiTheme="minorHAnsi" w:hAnsiTheme="minorHAnsi" w:cs="Arial"/>
          <w:lang w:val="pl-PL"/>
        </w:rPr>
      </w:pPr>
    </w:p>
    <w:p w14:paraId="7C638FE7" w14:textId="77777777" w:rsidR="00840555" w:rsidRPr="0081083D" w:rsidRDefault="00840555" w:rsidP="00840555">
      <w:pPr>
        <w:spacing w:line="240" w:lineRule="auto"/>
        <w:jc w:val="both"/>
        <w:rPr>
          <w:rFonts w:cs="Arial"/>
        </w:rPr>
      </w:pPr>
      <w:r w:rsidRPr="0081083D">
        <w:rPr>
          <w:rFonts w:cs="Arial"/>
          <w:b/>
        </w:rPr>
        <w:t>(56) Klauzula bezzwłocznej naprawy szkody</w:t>
      </w:r>
      <w:r w:rsidRPr="0081083D">
        <w:rPr>
          <w:rFonts w:cs="Arial"/>
        </w:rPr>
        <w:t xml:space="preserve"> – w przypadku szkód wymagających natychmiastowej naprawy w celu zachowania ciągłości produkcji lub świadczenia usług dopuszcza się możliwość bezzwłocznego dokonania napraw bezpośrednio po szkodzie. W przypadku szkód tego rodzaju </w:t>
      </w:r>
      <w:r w:rsidRPr="0081083D">
        <w:rPr>
          <w:rFonts w:cs="Arial"/>
        </w:rPr>
        <w:lastRenderedPageBreak/>
        <w:t>ubezpieczający zobowiązany jest do sporządzenia i przedłożenia ubezpieczycielowi dokumentacji zdjęciowej z miejsca szkody oraz zachowania elementów uszkodzonych, podlegających wymianie.</w:t>
      </w:r>
    </w:p>
    <w:p w14:paraId="12948EBA" w14:textId="77777777" w:rsidR="00840555" w:rsidRPr="0081083D" w:rsidRDefault="00840555" w:rsidP="00840555">
      <w:pPr>
        <w:spacing w:line="276" w:lineRule="auto"/>
        <w:jc w:val="both"/>
        <w:rPr>
          <w:rFonts w:cs="Arial"/>
          <w:b/>
        </w:rPr>
      </w:pPr>
      <w:r w:rsidRPr="0081083D">
        <w:rPr>
          <w:rFonts w:cs="Arial"/>
          <w:b/>
        </w:rPr>
        <w:t>(60) Klauzula przepięcia</w:t>
      </w:r>
      <w:r w:rsidRPr="0081083D">
        <w:rPr>
          <w:rFonts w:cs="Arial"/>
        </w:rPr>
        <w:t xml:space="preserve"> – ubezpieczyciel przyjmuje do ubezpieczenia szkody powstałe bezpośrednio lub pośrednio w wyniku zmiany natężenia prądu w sieci elektrycznej lub elektronicznej, m.in.: na skutek wyładowań atmosferycznych, zwarcia, indukcji, niewłaściwych parametrów prądu, wzbudzenia się niszczących sił elektromagnetycznych w obwodach elektrycznych. Limit 100</w:t>
      </w:r>
      <w:r>
        <w:rPr>
          <w:rFonts w:cs="Arial"/>
        </w:rPr>
        <w:t>.</w:t>
      </w:r>
      <w:r w:rsidRPr="0081083D">
        <w:rPr>
          <w:rFonts w:cs="Arial"/>
        </w:rPr>
        <w:t xml:space="preserve">000 </w:t>
      </w:r>
      <w:r>
        <w:rPr>
          <w:rFonts w:cs="Arial"/>
        </w:rPr>
        <w:t>PLN</w:t>
      </w:r>
      <w:r w:rsidRPr="0081083D">
        <w:rPr>
          <w:rFonts w:cs="Arial"/>
        </w:rPr>
        <w:t xml:space="preserve"> na jedno </w:t>
      </w:r>
      <w:r>
        <w:rPr>
          <w:rFonts w:cs="Arial"/>
        </w:rPr>
        <w:br/>
      </w:r>
      <w:r w:rsidRPr="0081083D">
        <w:rPr>
          <w:rFonts w:cs="Arial"/>
        </w:rPr>
        <w:t>i wszystkie zdarzenia w okresie ubezpieczenia. Dla sprzętu elektronicznego ustalona zostaje odpowiedzialność do wysokości sumy ubezpieczenia.</w:t>
      </w:r>
    </w:p>
    <w:p w14:paraId="68342825" w14:textId="77777777" w:rsidR="00840555" w:rsidRDefault="00840555" w:rsidP="00840555">
      <w:pPr>
        <w:spacing w:line="240" w:lineRule="auto"/>
        <w:jc w:val="both"/>
        <w:rPr>
          <w:rFonts w:cs="Arial"/>
          <w:b/>
        </w:rPr>
      </w:pPr>
    </w:p>
    <w:p w14:paraId="33F50496" w14:textId="77777777" w:rsidR="00840555" w:rsidRPr="0081083D" w:rsidRDefault="00840555" w:rsidP="00840555">
      <w:pPr>
        <w:spacing w:line="240" w:lineRule="auto"/>
        <w:jc w:val="both"/>
        <w:rPr>
          <w:rFonts w:cs="Arial"/>
        </w:rPr>
      </w:pPr>
      <w:r w:rsidRPr="0081083D">
        <w:rPr>
          <w:rFonts w:cs="Arial"/>
          <w:b/>
        </w:rPr>
        <w:t>(61) Klauzula wandalizmu/dewastacji</w:t>
      </w:r>
      <w:r w:rsidRPr="0081083D">
        <w:rPr>
          <w:rFonts w:cs="Arial"/>
        </w:rPr>
        <w:t xml:space="preserve"> – ubezpieczyciel przyjmuje do ubezpieczenia szkody powstałe bezpośrednio lub pośrednio w wyniku zniszczenia lub uszkodzenia przedmiotu ubezpieczenia dokonanego przez osoby trzecie, bez zamiaru lub z zamiarem usiłowania/dokonania kradzieży </w:t>
      </w:r>
      <w:r>
        <w:rPr>
          <w:rFonts w:cs="Arial"/>
        </w:rPr>
        <w:br/>
      </w:r>
      <w:r w:rsidRPr="0081083D">
        <w:rPr>
          <w:rFonts w:cs="Arial"/>
        </w:rPr>
        <w:t xml:space="preserve">z włamaniem lub rozboju/rabunku. Ponadto ochrona obejmuje szkody powstałe w następstwie graffiti. Dotyczy również sytuacji, w których nie doszło do pokonania zabezpieczeń. Skreśla się zapis ograniczający zakres odpowiedzialności do zdarzeń, w wyniku których osoby trzecie uzyskały dostęp do ubezpieczonego mienia. Przez graffiti rozumie się szkody estetyczne, polegające m.in. </w:t>
      </w:r>
      <w:r>
        <w:rPr>
          <w:rFonts w:cs="Arial"/>
        </w:rPr>
        <w:br/>
      </w:r>
      <w:r w:rsidRPr="0081083D">
        <w:rPr>
          <w:rFonts w:cs="Arial"/>
        </w:rPr>
        <w:t xml:space="preserve">na pomalowaniu, pobrudzeniu, pomazaniu, zachlapaniu, umieszczeniu napisów i innych znaków graficznych na ubezpieczonym mieniu przez osoby pozostające poza stosunkiem ubezpieczeniowym. Limit </w:t>
      </w:r>
      <w:r>
        <w:rPr>
          <w:rFonts w:cs="Arial"/>
        </w:rPr>
        <w:t>50.</w:t>
      </w:r>
      <w:r w:rsidRPr="0081083D">
        <w:rPr>
          <w:rFonts w:cs="Arial"/>
        </w:rPr>
        <w:t xml:space="preserve">000 </w:t>
      </w:r>
      <w:r>
        <w:rPr>
          <w:rFonts w:cs="Arial"/>
        </w:rPr>
        <w:t>PLN</w:t>
      </w:r>
      <w:r w:rsidRPr="0081083D">
        <w:rPr>
          <w:rFonts w:cs="Arial"/>
        </w:rPr>
        <w:t xml:space="preserve"> na jedno i wszystkie zdarzenia w okresie ubezpieczenia. </w:t>
      </w:r>
      <w:proofErr w:type="spellStart"/>
      <w:r w:rsidRPr="0081083D">
        <w:rPr>
          <w:rFonts w:cs="Arial"/>
        </w:rPr>
        <w:t>Podlimit</w:t>
      </w:r>
      <w:proofErr w:type="spellEnd"/>
      <w:r w:rsidRPr="0081083D">
        <w:rPr>
          <w:rFonts w:cs="Arial"/>
        </w:rPr>
        <w:t xml:space="preserve"> </w:t>
      </w:r>
      <w:r>
        <w:rPr>
          <w:rFonts w:cs="Arial"/>
        </w:rPr>
        <w:t>5.</w:t>
      </w:r>
      <w:r w:rsidRPr="0081083D">
        <w:rPr>
          <w:rFonts w:cs="Arial"/>
        </w:rPr>
        <w:t xml:space="preserve">000 </w:t>
      </w:r>
      <w:r>
        <w:rPr>
          <w:rFonts w:cs="Arial"/>
        </w:rPr>
        <w:t>PLN</w:t>
      </w:r>
      <w:r w:rsidRPr="0081083D">
        <w:rPr>
          <w:rFonts w:cs="Arial"/>
        </w:rPr>
        <w:t xml:space="preserve"> na jedno </w:t>
      </w:r>
      <w:r>
        <w:rPr>
          <w:rFonts w:cs="Arial"/>
        </w:rPr>
        <w:br/>
      </w:r>
      <w:r w:rsidRPr="0081083D">
        <w:rPr>
          <w:rFonts w:cs="Arial"/>
        </w:rPr>
        <w:t>i wszystkie zdarzenia związane z graffiti w okresie ubezpieczenia.</w:t>
      </w:r>
    </w:p>
    <w:p w14:paraId="59BDAC9B" w14:textId="77777777" w:rsidR="00840555" w:rsidRPr="0081083D" w:rsidRDefault="00840555" w:rsidP="00840555">
      <w:pPr>
        <w:spacing w:line="240" w:lineRule="auto"/>
        <w:jc w:val="both"/>
        <w:rPr>
          <w:rFonts w:cs="Arial"/>
        </w:rPr>
      </w:pPr>
      <w:r w:rsidRPr="0081083D">
        <w:rPr>
          <w:rFonts w:cs="Arial"/>
          <w:b/>
        </w:rPr>
        <w:t>(62) Klauzula strajków/zamieszek</w:t>
      </w:r>
      <w:r w:rsidRPr="0081083D">
        <w:rPr>
          <w:rFonts w:cs="Arial"/>
        </w:rPr>
        <w:t xml:space="preserve"> – ubezpieczyciel przyjmuje do ubezpieczenia szkody powstałe bezpośrednio lub pośrednio w wyniku strajków, lokautów, zamieszek i rozruchów oraz działań władz zmierzających do ich zapobieżenia, stłumienia lub zminimalizowania ich skutków, a także wszelkich działań pozostających w jakiejkolwiek relacji do wymienionych zdarzeń. Ubezpieczyciel ponosi również koszty akcji ratowniczej, kontrolnej, zapobiegawczej, zwalczającej skutki, prowadzonej w związku </w:t>
      </w:r>
      <w:r>
        <w:rPr>
          <w:rFonts w:cs="Arial"/>
        </w:rPr>
        <w:br/>
      </w:r>
      <w:r w:rsidRPr="0081083D">
        <w:rPr>
          <w:rFonts w:cs="Arial"/>
        </w:rPr>
        <w:t>z wymienionymi zdarzeniami. Limit 1</w:t>
      </w:r>
      <w:r>
        <w:rPr>
          <w:rFonts w:cs="Arial"/>
        </w:rPr>
        <w:t>.</w:t>
      </w:r>
      <w:r w:rsidRPr="0081083D">
        <w:rPr>
          <w:rFonts w:cs="Arial"/>
        </w:rPr>
        <w:t>000</w:t>
      </w:r>
      <w:r>
        <w:rPr>
          <w:rFonts w:cs="Arial"/>
        </w:rPr>
        <w:t>.0</w:t>
      </w:r>
      <w:r w:rsidRPr="0081083D">
        <w:rPr>
          <w:rFonts w:cs="Arial"/>
        </w:rPr>
        <w:t xml:space="preserve">00 </w:t>
      </w:r>
      <w:r>
        <w:rPr>
          <w:rFonts w:cs="Arial"/>
        </w:rPr>
        <w:t>PLN</w:t>
      </w:r>
      <w:r w:rsidRPr="0081083D">
        <w:rPr>
          <w:rFonts w:cs="Arial"/>
        </w:rPr>
        <w:t xml:space="preserve"> na jedno i wszystkie zdarzenia w okresie ubezpieczenia.</w:t>
      </w:r>
    </w:p>
    <w:p w14:paraId="5C93A666" w14:textId="77777777" w:rsidR="00840555" w:rsidRPr="0081083D" w:rsidRDefault="00840555" w:rsidP="00840555">
      <w:pPr>
        <w:spacing w:line="240" w:lineRule="auto"/>
        <w:jc w:val="both"/>
        <w:rPr>
          <w:rFonts w:cs="Arial"/>
        </w:rPr>
      </w:pPr>
      <w:r w:rsidRPr="0081083D">
        <w:rPr>
          <w:rFonts w:cs="Arial"/>
          <w:b/>
        </w:rPr>
        <w:t xml:space="preserve">(63) Klauzula ryzyka uszkodzenia w wyniku przerwy w dostawie mediów </w:t>
      </w:r>
      <w:r w:rsidRPr="0081083D">
        <w:rPr>
          <w:rFonts w:cs="Arial"/>
        </w:rPr>
        <w:t xml:space="preserve">– ochronę ubezpieczeniową rozszerza się o ryzyko uszkodzenia ubezpieczonego mienia w wyniku przerwy w dostawie mediów </w:t>
      </w:r>
      <w:r>
        <w:rPr>
          <w:rFonts w:cs="Arial"/>
        </w:rPr>
        <w:br/>
      </w:r>
      <w:r w:rsidRPr="0081083D">
        <w:rPr>
          <w:rFonts w:cs="Arial"/>
        </w:rPr>
        <w:t>(np.: gazu, prądu, wody).</w:t>
      </w:r>
    </w:p>
    <w:p w14:paraId="27638D12" w14:textId="77777777" w:rsidR="00840555" w:rsidRPr="0081083D" w:rsidRDefault="00840555" w:rsidP="00840555">
      <w:pPr>
        <w:spacing w:line="240" w:lineRule="auto"/>
        <w:jc w:val="both"/>
        <w:rPr>
          <w:rFonts w:cs="Arial"/>
        </w:rPr>
      </w:pPr>
      <w:r w:rsidRPr="0081083D">
        <w:rPr>
          <w:rFonts w:cs="Arial"/>
          <w:b/>
        </w:rPr>
        <w:t xml:space="preserve">(65) Klauzula następczych szkód majątkowych </w:t>
      </w:r>
      <w:r w:rsidRPr="0081083D">
        <w:rPr>
          <w:rFonts w:cs="Arial"/>
        </w:rPr>
        <w:t xml:space="preserve">– jeżeli w związku z przerwą w dostawie lub niewłaściwymi parametrami mediów (np.: gazu, prądu, wody) wystąpi zdarzenie, które jest objęte ubezpieczeniem majątkowym, ubezpieczyciel pokryje taką szkodę w całości. </w:t>
      </w:r>
    </w:p>
    <w:p w14:paraId="3127A23D" w14:textId="77777777" w:rsidR="00840555" w:rsidRPr="004F7AB7" w:rsidRDefault="00840555" w:rsidP="00840555">
      <w:pPr>
        <w:spacing w:line="276" w:lineRule="auto"/>
        <w:jc w:val="both"/>
        <w:rPr>
          <w:rFonts w:cs="Arial"/>
        </w:rPr>
      </w:pPr>
      <w:r w:rsidRPr="0081083D">
        <w:rPr>
          <w:rFonts w:cs="Arial"/>
          <w:b/>
        </w:rPr>
        <w:t>(66) Klauzula rozmrożenia</w:t>
      </w:r>
      <w:r w:rsidRPr="0081083D">
        <w:rPr>
          <w:rFonts w:cs="Arial"/>
        </w:rPr>
        <w:t xml:space="preserve"> – ochroną ubezpieczeniową objęte są szkody powstałe w środkach obrotowych przechowywanych w urządzeniach chłodniczych (np.: chłodniach, ladach chłodniczych) </w:t>
      </w:r>
      <w:r>
        <w:rPr>
          <w:rFonts w:cs="Arial"/>
        </w:rPr>
        <w:br/>
      </w:r>
      <w:r w:rsidRPr="0081083D">
        <w:rPr>
          <w:rFonts w:cs="Arial"/>
        </w:rPr>
        <w:t xml:space="preserve">na skutek podniesienia się temperatury będącego wynikiem awarii instalacji chłodzącej, urządzenia chłodniczego bądź elektrycznego, przerwy w dostawie prądu lub samoczynnego wyłączenia. </w:t>
      </w:r>
      <w:r>
        <w:rPr>
          <w:rFonts w:cs="Arial"/>
        </w:rPr>
        <w:br/>
      </w:r>
      <w:r w:rsidRPr="0081083D">
        <w:rPr>
          <w:rFonts w:cs="Arial"/>
        </w:rPr>
        <w:t>Limit 100</w:t>
      </w:r>
      <w:r>
        <w:rPr>
          <w:rFonts w:cs="Arial"/>
        </w:rPr>
        <w:t>.000 PLN</w:t>
      </w:r>
      <w:r w:rsidRPr="0081083D">
        <w:rPr>
          <w:rFonts w:cs="Arial"/>
        </w:rPr>
        <w:t xml:space="preserve"> na jedno i wszystkie zdarzenia w okresie ubezpieczenia.</w:t>
      </w:r>
    </w:p>
    <w:p w14:paraId="5887C890" w14:textId="77777777" w:rsidR="00840555" w:rsidRPr="0081083D" w:rsidRDefault="00840555" w:rsidP="00840555">
      <w:pPr>
        <w:spacing w:line="240" w:lineRule="auto"/>
        <w:jc w:val="both"/>
        <w:rPr>
          <w:rFonts w:cs="Arial"/>
        </w:rPr>
      </w:pPr>
      <w:r w:rsidRPr="0081083D">
        <w:rPr>
          <w:rFonts w:cs="Arial"/>
          <w:b/>
        </w:rPr>
        <w:t>(67) Klauzula katastrofy budowlanej</w:t>
      </w:r>
      <w:r w:rsidRPr="0081083D">
        <w:rPr>
          <w:rFonts w:cs="Arial"/>
        </w:rPr>
        <w:t xml:space="preserve"> – ubezpieczyciel przyjmuje do ubezpieczenia szkody powstałe bezpośrednio lub pośrednio w wyniku katastrofy budowlanej (w tym na skutek błędów projektowych i wad materiałowych). Katastrofą budowlaną jest niezamierzone, gwałtowne zniszczenie obiektu </w:t>
      </w:r>
      <w:r w:rsidRPr="0081083D">
        <w:rPr>
          <w:rFonts w:cs="Arial"/>
        </w:rPr>
        <w:lastRenderedPageBreak/>
        <w:t>budowlanego lub jego części, a także konstrukcyjnych elementów rusztowań, elementów urządzeń formujących, ścianek szczel</w:t>
      </w:r>
      <w:r>
        <w:rPr>
          <w:rFonts w:cs="Arial"/>
        </w:rPr>
        <w:t>nych i obudowy wykopów. Limit 1.</w:t>
      </w:r>
      <w:r w:rsidRPr="0081083D">
        <w:rPr>
          <w:rFonts w:cs="Arial"/>
        </w:rPr>
        <w:t>000</w:t>
      </w:r>
      <w:r>
        <w:rPr>
          <w:rFonts w:cs="Arial"/>
        </w:rPr>
        <w:t>.</w:t>
      </w:r>
      <w:r w:rsidRPr="0081083D">
        <w:rPr>
          <w:rFonts w:cs="Arial"/>
        </w:rPr>
        <w:t xml:space="preserve">000 </w:t>
      </w:r>
      <w:r>
        <w:rPr>
          <w:rFonts w:cs="Arial"/>
        </w:rPr>
        <w:t>PLN</w:t>
      </w:r>
      <w:r w:rsidRPr="0081083D">
        <w:rPr>
          <w:rFonts w:cs="Arial"/>
        </w:rPr>
        <w:t xml:space="preserve"> na jedno i wszystkie zdarzenia w okresie ubezpieczenia. Franszyza redukcyjna 10% wartości szkody, min. 1</w:t>
      </w:r>
      <w:r>
        <w:rPr>
          <w:rFonts w:cs="Arial"/>
        </w:rPr>
        <w:t>.</w:t>
      </w:r>
      <w:r w:rsidRPr="0081083D">
        <w:rPr>
          <w:rFonts w:cs="Arial"/>
        </w:rPr>
        <w:t xml:space="preserve">000 </w:t>
      </w:r>
      <w:r>
        <w:rPr>
          <w:rFonts w:cs="Arial"/>
        </w:rPr>
        <w:t>PLN</w:t>
      </w:r>
      <w:r w:rsidRPr="0081083D">
        <w:rPr>
          <w:rFonts w:cs="Arial"/>
        </w:rPr>
        <w:t>.</w:t>
      </w:r>
    </w:p>
    <w:p w14:paraId="6C262450" w14:textId="77777777" w:rsidR="00840555" w:rsidRPr="0081083D" w:rsidRDefault="00840555" w:rsidP="00840555">
      <w:pPr>
        <w:spacing w:line="276" w:lineRule="auto"/>
        <w:jc w:val="both"/>
        <w:rPr>
          <w:rFonts w:cs="Arial"/>
        </w:rPr>
      </w:pPr>
      <w:r w:rsidRPr="0081083D">
        <w:rPr>
          <w:rFonts w:cs="Arial"/>
          <w:b/>
        </w:rPr>
        <w:t>(70) Klauzula sprzeniewierzenia –</w:t>
      </w:r>
      <w:r w:rsidRPr="0081083D">
        <w:rPr>
          <w:rFonts w:cs="Arial"/>
        </w:rPr>
        <w:t xml:space="preserve"> ochronę ubezpieczeniową rozszerza się o ryzyko sprzeniewierzenia, które wyczerpuje znamiona czynu określonego w art. 284 § 1 i 2 kk. Zakres ubezpieczenia obejmuje czyny popełnione przez osoby, za które odpowiedzialny jest ubezpieczający. Limit </w:t>
      </w:r>
      <w:r>
        <w:rPr>
          <w:rFonts w:cs="Arial"/>
        </w:rPr>
        <w:t>50.</w:t>
      </w:r>
      <w:r w:rsidRPr="0081083D">
        <w:rPr>
          <w:rFonts w:cs="Arial"/>
        </w:rPr>
        <w:t xml:space="preserve">000 </w:t>
      </w:r>
      <w:r>
        <w:rPr>
          <w:rFonts w:cs="Arial"/>
        </w:rPr>
        <w:t>PLN</w:t>
      </w:r>
      <w:r w:rsidRPr="0081083D">
        <w:rPr>
          <w:rFonts w:cs="Arial"/>
        </w:rPr>
        <w:t xml:space="preserve"> na jedno </w:t>
      </w:r>
      <w:r>
        <w:rPr>
          <w:rFonts w:cs="Arial"/>
        </w:rPr>
        <w:br/>
      </w:r>
      <w:r w:rsidRPr="0081083D">
        <w:rPr>
          <w:rFonts w:cs="Arial"/>
        </w:rPr>
        <w:t>i wszystkie zdarzenia w okresie ubezpieczenia.</w:t>
      </w:r>
    </w:p>
    <w:p w14:paraId="0E4BEF67" w14:textId="77777777" w:rsidR="00840555" w:rsidRPr="0081083D" w:rsidRDefault="00840555" w:rsidP="00840555">
      <w:pPr>
        <w:spacing w:line="240" w:lineRule="auto"/>
        <w:jc w:val="both"/>
        <w:rPr>
          <w:rFonts w:cs="Arial"/>
        </w:rPr>
      </w:pPr>
      <w:r w:rsidRPr="0081083D">
        <w:rPr>
          <w:rFonts w:cs="Arial"/>
          <w:b/>
        </w:rPr>
        <w:t>(71) Klauzula wyrównania sum ubezpieczenia</w:t>
      </w:r>
      <w:r w:rsidRPr="0081083D">
        <w:rPr>
          <w:rFonts w:cs="Arial"/>
        </w:rPr>
        <w:t xml:space="preserve"> – w przypadku, gdy suma ubezpieczenia niektórych pozycji jest wyższa niż ich wartość, nadwyżka ta zostanie rozłożona na te pozycje, co do których występuje niedoubezpieczenie.</w:t>
      </w:r>
      <w:r>
        <w:rPr>
          <w:rFonts w:cs="Arial"/>
        </w:rPr>
        <w:t xml:space="preserve"> Limit: 1.000.000 PLN.</w:t>
      </w:r>
    </w:p>
    <w:p w14:paraId="122BE9E9" w14:textId="77777777" w:rsidR="00840555" w:rsidRPr="0081083D" w:rsidRDefault="00840555" w:rsidP="00840555">
      <w:pPr>
        <w:spacing w:line="240" w:lineRule="auto"/>
        <w:jc w:val="both"/>
        <w:rPr>
          <w:rFonts w:cs="Arial"/>
        </w:rPr>
      </w:pPr>
      <w:r w:rsidRPr="0081083D">
        <w:rPr>
          <w:rFonts w:cs="Arial"/>
          <w:b/>
        </w:rPr>
        <w:t>(72) Klauzula zwiększonych kosztów działalności</w:t>
      </w:r>
      <w:r w:rsidRPr="0081083D">
        <w:rPr>
          <w:rFonts w:cs="Arial"/>
        </w:rPr>
        <w:t xml:space="preserve"> – ubezpieczyciel zwraca dodatkowe koszty działalności poniesione przez ubezpieczającego lub podmioty działające na jego zlecenie w związku </w:t>
      </w:r>
      <w:r>
        <w:rPr>
          <w:rFonts w:cs="Arial"/>
        </w:rPr>
        <w:br/>
      </w:r>
      <w:r w:rsidRPr="0081083D">
        <w:rPr>
          <w:rFonts w:cs="Arial"/>
        </w:rPr>
        <w:t>z zakłóceniem lub przerwą w działalności gospodarczej, do której doszło na skutek szkody, takie jak:</w:t>
      </w:r>
    </w:p>
    <w:p w14:paraId="39B9388E"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wynajmu, dzierżawy, użytkowania lub leasingu ruchomości (np.: maszyn, urządzeń, wyposażenia lub sprzętu elektronicznego itp.) oraz koszty korzystania z zewnętrznego centrum przetwarzania danych,</w:t>
      </w:r>
    </w:p>
    <w:p w14:paraId="11BB802C"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 xml:space="preserve">koszty wynajęcia i pracy sprzętu załadunkowego, przeładunkowego, </w:t>
      </w:r>
      <w:proofErr w:type="spellStart"/>
      <w:r w:rsidRPr="0081083D">
        <w:rPr>
          <w:rFonts w:cs="Arial"/>
        </w:rPr>
        <w:t>doładunkowego</w:t>
      </w:r>
      <w:proofErr w:type="spellEnd"/>
      <w:r w:rsidRPr="0081083D">
        <w:rPr>
          <w:rFonts w:cs="Arial"/>
        </w:rPr>
        <w:t xml:space="preserve"> </w:t>
      </w:r>
      <w:r>
        <w:rPr>
          <w:rFonts w:cs="Arial"/>
        </w:rPr>
        <w:br/>
      </w:r>
      <w:r w:rsidRPr="0081083D">
        <w:rPr>
          <w:rFonts w:cs="Arial"/>
        </w:rPr>
        <w:t xml:space="preserve">i rozładunkowego, przeniesienia, przetransportowania, składowania ruchomości (np.: maszyn, urządzeń, wyposażenia, sprzętu elektronicznego, surowców, towarów itp.) nieobjętych szkodą do/z zastępczych pomieszczeń lub lokalizacji. Ochrona obejmuje także szkody w mieniu, </w:t>
      </w:r>
      <w:r>
        <w:rPr>
          <w:rFonts w:cs="Arial"/>
        </w:rPr>
        <w:br/>
      </w:r>
      <w:r w:rsidRPr="0081083D">
        <w:rPr>
          <w:rFonts w:cs="Arial"/>
        </w:rPr>
        <w:t>do których doszło podczas przenoszenia lub transportu,</w:t>
      </w:r>
    </w:p>
    <w:p w14:paraId="6130D0A1"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wynajmu, dzierżawy lub adaptacji zastępczych pomieszczeń lub lokalizacji,</w:t>
      </w:r>
    </w:p>
    <w:p w14:paraId="28C0969E"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 xml:space="preserve">dodatkowe koszty pracy (np.: praca w godzinach nadliczbowych, nocnych, w dni wolne </w:t>
      </w:r>
      <w:r>
        <w:rPr>
          <w:rFonts w:cs="Arial"/>
        </w:rPr>
        <w:br/>
      </w:r>
      <w:r w:rsidRPr="0081083D">
        <w:rPr>
          <w:rFonts w:cs="Arial"/>
        </w:rPr>
        <w:t>od pracy),</w:t>
      </w:r>
    </w:p>
    <w:p w14:paraId="7F5EF4F9"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zatrudnienia dodatkowego personelu,</w:t>
      </w:r>
    </w:p>
    <w:p w14:paraId="78E902E4"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korzystania z usług osób trzecich,</w:t>
      </w:r>
    </w:p>
    <w:p w14:paraId="1E20F092"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wykorzystania w prowadzeniu działalności produktów gotowych lub półproduktów wyprodukowanych przez osoby trzecie,</w:t>
      </w:r>
    </w:p>
    <w:p w14:paraId="70B9E1BC"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opracowania i zastosowania zastępczych metod pracy, produkcji, metod operacyjnych,</w:t>
      </w:r>
    </w:p>
    <w:p w14:paraId="2615DB31"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dodatkowe wynikłe ze wzrostu cen,</w:t>
      </w:r>
    </w:p>
    <w:p w14:paraId="2F869DE0"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dodatkowe wynikłe z poleceń uprawnionych organów władzy,</w:t>
      </w:r>
    </w:p>
    <w:p w14:paraId="5A636142"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odtworzenia i/lub wykonania dokumentacji, kartotek, rysunków itp.,</w:t>
      </w:r>
    </w:p>
    <w:p w14:paraId="3196F45F"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przeprogramowania, restartu systemu na sprzęcie zastępczym,</w:t>
      </w:r>
    </w:p>
    <w:p w14:paraId="0729C0B9"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adaptacji sprzętu,</w:t>
      </w:r>
    </w:p>
    <w:p w14:paraId="67D3355F"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 xml:space="preserve">koszty napraw prowizorycznych, tymczasowych (np.: maszyn, urządzeń, wyposażenia </w:t>
      </w:r>
      <w:r>
        <w:rPr>
          <w:rFonts w:cs="Arial"/>
        </w:rPr>
        <w:br/>
      </w:r>
      <w:r w:rsidRPr="0081083D">
        <w:rPr>
          <w:rFonts w:cs="Arial"/>
        </w:rPr>
        <w:t>lub sprzętu elektronicznego itp.),</w:t>
      </w:r>
    </w:p>
    <w:p w14:paraId="2CB3783F"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materiałów biurowych,</w:t>
      </w:r>
    </w:p>
    <w:p w14:paraId="7C18D097"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opłat za media,</w:t>
      </w:r>
    </w:p>
    <w:p w14:paraId="5F072A8A"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reklamy,</w:t>
      </w:r>
    </w:p>
    <w:p w14:paraId="30F7C960"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podróży służbowych, w tym zagranicznych,</w:t>
      </w:r>
    </w:p>
    <w:p w14:paraId="2CF5282A"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wynajmu pojazdów,</w:t>
      </w:r>
    </w:p>
    <w:p w14:paraId="5412A740"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obsługi dodatkowego kredytu obrotowego,</w:t>
      </w:r>
    </w:p>
    <w:p w14:paraId="6AA733D7"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 xml:space="preserve">koszty montażu i demontażu ruchomości zastępczych (np.: maszyn, urządzeń, wyposażenia </w:t>
      </w:r>
      <w:r>
        <w:rPr>
          <w:rFonts w:cs="Arial"/>
        </w:rPr>
        <w:br/>
      </w:r>
      <w:r w:rsidRPr="0081083D">
        <w:rPr>
          <w:rFonts w:cs="Arial"/>
        </w:rPr>
        <w:t>lub sprzętu elektronicznego itp.),</w:t>
      </w:r>
    </w:p>
    <w:p w14:paraId="2B7CA708"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poinformowania klientów i kooperantów o zmianach dotyczących prowadzonej działalności,</w:t>
      </w:r>
    </w:p>
    <w:p w14:paraId="6820B545" w14:textId="77777777" w:rsidR="00840555" w:rsidRPr="0081083D" w:rsidRDefault="00840555" w:rsidP="00840555">
      <w:pPr>
        <w:numPr>
          <w:ilvl w:val="0"/>
          <w:numId w:val="11"/>
        </w:numPr>
        <w:spacing w:after="0" w:line="240" w:lineRule="auto"/>
        <w:ind w:left="714" w:hanging="357"/>
        <w:jc w:val="both"/>
        <w:rPr>
          <w:rFonts w:cs="Arial"/>
        </w:rPr>
      </w:pPr>
      <w:r w:rsidRPr="0081083D">
        <w:rPr>
          <w:rFonts w:cs="Arial"/>
        </w:rPr>
        <w:t>koszty nadzwyczajne, standardowo nie występujące w toku normalnej działalności,</w:t>
      </w:r>
    </w:p>
    <w:p w14:paraId="49D71053" w14:textId="77777777" w:rsidR="00840555" w:rsidRPr="0081083D" w:rsidRDefault="00840555" w:rsidP="00840555">
      <w:pPr>
        <w:numPr>
          <w:ilvl w:val="0"/>
          <w:numId w:val="11"/>
        </w:numPr>
        <w:spacing w:after="200" w:line="240" w:lineRule="auto"/>
        <w:jc w:val="both"/>
        <w:rPr>
          <w:rFonts w:cs="Arial"/>
        </w:rPr>
      </w:pPr>
      <w:r w:rsidRPr="0081083D">
        <w:rPr>
          <w:rFonts w:cs="Arial"/>
        </w:rPr>
        <w:lastRenderedPageBreak/>
        <w:t>inne, niż wymieniowe powyżej dodatkowe koszty proporcjonalne i nieproporcjonalne.</w:t>
      </w:r>
    </w:p>
    <w:p w14:paraId="5A9A2E72" w14:textId="77777777" w:rsidR="00840555" w:rsidRDefault="00840555" w:rsidP="00840555">
      <w:pPr>
        <w:spacing w:line="240" w:lineRule="auto"/>
        <w:jc w:val="both"/>
        <w:rPr>
          <w:rFonts w:cs="Arial"/>
        </w:rPr>
      </w:pPr>
      <w:r w:rsidRPr="0081083D">
        <w:rPr>
          <w:rFonts w:cs="Arial"/>
        </w:rPr>
        <w:t>Okres odszkodowawczy: 6 miesięcy. Limit 500</w:t>
      </w:r>
      <w:r>
        <w:rPr>
          <w:rFonts w:cs="Arial"/>
        </w:rPr>
        <w:t>.000 PLN</w:t>
      </w:r>
      <w:r w:rsidRPr="0081083D">
        <w:rPr>
          <w:rFonts w:cs="Arial"/>
        </w:rPr>
        <w:t xml:space="preserve"> na jedno i wszystkie zdarzenia w okresie ubezpieczenia.</w:t>
      </w:r>
    </w:p>
    <w:p w14:paraId="67F4B3A3" w14:textId="77777777" w:rsidR="00840555" w:rsidRPr="00200905" w:rsidRDefault="00840555" w:rsidP="00840555">
      <w:pPr>
        <w:spacing w:after="0" w:line="240" w:lineRule="auto"/>
        <w:jc w:val="both"/>
        <w:rPr>
          <w:rFonts w:cs="Arial"/>
        </w:rPr>
      </w:pPr>
      <w:r>
        <w:rPr>
          <w:rFonts w:cs="Arial"/>
          <w:b/>
        </w:rPr>
        <w:t>(73) Klauzula e</w:t>
      </w:r>
      <w:r w:rsidRPr="00200905">
        <w:rPr>
          <w:rFonts w:cs="Arial"/>
          <w:b/>
        </w:rPr>
        <w:t>wakuacji</w:t>
      </w:r>
      <w:r w:rsidRPr="00200905">
        <w:rPr>
          <w:rFonts w:cs="Arial"/>
        </w:rPr>
        <w:t xml:space="preserve"> - Ubezpieczyciel, bez względu na przyczynę ewakuacji, zwróci dodatkowe koszty ewakuacji pacjentów</w:t>
      </w:r>
      <w:r>
        <w:rPr>
          <w:rFonts w:cs="Arial"/>
        </w:rPr>
        <w:t>,</w:t>
      </w:r>
      <w:r w:rsidRPr="00200905">
        <w:rPr>
          <w:rFonts w:cs="Arial"/>
        </w:rPr>
        <w:t xml:space="preserve"> personelu oraz mienia</w:t>
      </w:r>
      <w:r>
        <w:rPr>
          <w:rFonts w:cs="Arial"/>
        </w:rPr>
        <w:t xml:space="preserve"> ubezpieczonego</w:t>
      </w:r>
      <w:r w:rsidRPr="00200905">
        <w:rPr>
          <w:rFonts w:cs="Arial"/>
        </w:rPr>
        <w:t>, w szczególności sprzętu medycznego. Koszty obejmują, między innymi:</w:t>
      </w:r>
    </w:p>
    <w:p w14:paraId="319C6775" w14:textId="598D7342" w:rsidR="00840555" w:rsidRPr="00200905" w:rsidRDefault="00840555" w:rsidP="00840555">
      <w:pPr>
        <w:spacing w:after="0" w:line="240" w:lineRule="auto"/>
        <w:jc w:val="both"/>
        <w:rPr>
          <w:rFonts w:cs="Arial"/>
        </w:rPr>
      </w:pPr>
      <w:r>
        <w:rPr>
          <w:rFonts w:cs="Arial"/>
        </w:rPr>
        <w:t xml:space="preserve">a) </w:t>
      </w:r>
      <w:r w:rsidRPr="00200905">
        <w:rPr>
          <w:rFonts w:cs="Arial"/>
        </w:rPr>
        <w:t xml:space="preserve">Transport pacjentów do placówek zastępczych oraz ich pobyt do </w:t>
      </w:r>
      <w:r w:rsidR="003E16F3">
        <w:rPr>
          <w:rFonts w:cs="Arial"/>
        </w:rPr>
        <w:t>3</w:t>
      </w:r>
      <w:r w:rsidRPr="00200905">
        <w:rPr>
          <w:rFonts w:cs="Arial"/>
        </w:rPr>
        <w:t xml:space="preserve"> dni kalendarzowych  (decyduje data przyjęcia)</w:t>
      </w:r>
    </w:p>
    <w:p w14:paraId="5839B4EA" w14:textId="10607887" w:rsidR="00840555" w:rsidRPr="00200905" w:rsidRDefault="00840555" w:rsidP="00840555">
      <w:pPr>
        <w:spacing w:after="0" w:line="240" w:lineRule="auto"/>
        <w:jc w:val="both"/>
        <w:rPr>
          <w:rFonts w:cs="Arial"/>
        </w:rPr>
      </w:pPr>
      <w:r>
        <w:rPr>
          <w:rFonts w:cs="Arial"/>
        </w:rPr>
        <w:t>b)</w:t>
      </w:r>
      <w:r w:rsidRPr="00200905">
        <w:rPr>
          <w:rFonts w:cs="Arial"/>
        </w:rPr>
        <w:t xml:space="preserve">Transport sprzętu elektronicznego, w szczególności sprzętu medycznego wraz </w:t>
      </w:r>
      <w:r w:rsidRPr="00200905">
        <w:rPr>
          <w:rFonts w:cs="Arial"/>
        </w:rPr>
        <w:br/>
        <w:t xml:space="preserve">z przechowywaniem i jego magazynowaniem przez </w:t>
      </w:r>
      <w:r w:rsidR="003E16F3">
        <w:rPr>
          <w:rFonts w:cs="Arial"/>
        </w:rPr>
        <w:t>wyspecjalizowane podmioty.</w:t>
      </w:r>
      <w:r w:rsidR="003E16F3" w:rsidRPr="00200905">
        <w:rPr>
          <w:rFonts w:cs="Arial"/>
        </w:rPr>
        <w:t xml:space="preserve"> </w:t>
      </w:r>
    </w:p>
    <w:p w14:paraId="4F959E57" w14:textId="77777777" w:rsidR="003E16F3" w:rsidRDefault="003E16F3" w:rsidP="00840555">
      <w:pPr>
        <w:spacing w:after="0" w:line="240" w:lineRule="auto"/>
        <w:jc w:val="both"/>
        <w:rPr>
          <w:rFonts w:cs="Arial"/>
        </w:rPr>
      </w:pPr>
      <w:r>
        <w:rPr>
          <w:rFonts w:cs="Arial"/>
        </w:rPr>
        <w:t>Ubezpieczyciel pokryje koszty, gdy ewakuacja została przeprowadzona decyzją Zarządu/Dyrekcji podmiotu leczniczego, właściwych służb, np. Policji, Straży Pożarnej.</w:t>
      </w:r>
    </w:p>
    <w:p w14:paraId="38DE64CD" w14:textId="2A385EB2" w:rsidR="00840555" w:rsidRPr="00E15074" w:rsidRDefault="00840555" w:rsidP="00840555">
      <w:pPr>
        <w:spacing w:after="0" w:line="240" w:lineRule="auto"/>
        <w:jc w:val="both"/>
        <w:rPr>
          <w:rFonts w:cs="Arial"/>
        </w:rPr>
      </w:pPr>
      <w:r w:rsidRPr="00200905">
        <w:rPr>
          <w:rFonts w:cs="Arial"/>
        </w:rPr>
        <w:t xml:space="preserve">Limit </w:t>
      </w:r>
      <w:r w:rsidR="003E16F3">
        <w:rPr>
          <w:rFonts w:cs="Arial"/>
        </w:rPr>
        <w:t>5</w:t>
      </w:r>
      <w:r w:rsidRPr="00200905">
        <w:rPr>
          <w:rFonts w:cs="Arial"/>
        </w:rPr>
        <w:t>0.000 PLN na jedno i wszystkie zdarzenia w okresie ubezpieczenia ponad sumę ubezpieczenia.</w:t>
      </w:r>
    </w:p>
    <w:p w14:paraId="54BF574E" w14:textId="77777777" w:rsidR="003E16F3" w:rsidRDefault="003E16F3" w:rsidP="00840555">
      <w:pPr>
        <w:spacing w:line="240" w:lineRule="auto"/>
        <w:jc w:val="both"/>
        <w:rPr>
          <w:rFonts w:cs="Arial"/>
          <w:b/>
        </w:rPr>
      </w:pPr>
    </w:p>
    <w:p w14:paraId="6414DC37" w14:textId="77777777" w:rsidR="00840555" w:rsidRPr="0081083D" w:rsidRDefault="00840555" w:rsidP="00840555">
      <w:pPr>
        <w:spacing w:line="240" w:lineRule="auto"/>
        <w:jc w:val="both"/>
        <w:rPr>
          <w:rFonts w:cs="Arial"/>
        </w:rPr>
      </w:pPr>
      <w:r w:rsidRPr="0081083D">
        <w:rPr>
          <w:rFonts w:cs="Arial"/>
          <w:b/>
        </w:rPr>
        <w:t>(75) Klauzula nieodtwarzania mienia</w:t>
      </w:r>
      <w:r w:rsidRPr="0081083D">
        <w:rPr>
          <w:rFonts w:cs="Arial"/>
        </w:rPr>
        <w:t xml:space="preserve"> – ubezpieczający ma prawo do nieodtwarzania uszkodzonego mienia. W takim przypadku ubezpieczyciel wypłaci odszkodowanie zgodnie ze sposobem deklaracji mienia, niezależnie od stopnia faktycznego umorzenia lub stopnia zużycia w taki sposób, jakby mienie to zostało odtworzone.</w:t>
      </w:r>
    </w:p>
    <w:p w14:paraId="0F511941" w14:textId="77777777" w:rsidR="00840555" w:rsidRPr="00DE53D8" w:rsidRDefault="00840555" w:rsidP="00840555">
      <w:pPr>
        <w:spacing w:after="200" w:line="240" w:lineRule="auto"/>
        <w:jc w:val="both"/>
        <w:rPr>
          <w:rFonts w:cs="Tahoma"/>
          <w:snapToGrid w:val="0"/>
          <w:szCs w:val="18"/>
        </w:rPr>
      </w:pPr>
      <w:r w:rsidRPr="00DE53D8">
        <w:rPr>
          <w:rFonts w:cs="Arial"/>
          <w:b/>
          <w:bCs/>
        </w:rPr>
        <w:t xml:space="preserve">(76) Klauzula </w:t>
      </w:r>
      <w:r w:rsidRPr="00DE53D8">
        <w:rPr>
          <w:rFonts w:cs="Arial"/>
          <w:b/>
        </w:rPr>
        <w:t>poleceń/nakazów/decyzji</w:t>
      </w:r>
      <w:r w:rsidRPr="00DE53D8">
        <w:rPr>
          <w:rFonts w:cs="Arial"/>
          <w:b/>
          <w:bCs/>
        </w:rPr>
        <w:t xml:space="preserve"> </w:t>
      </w:r>
      <w:r w:rsidRPr="00DE53D8">
        <w:rPr>
          <w:rFonts w:cs="Arial"/>
        </w:rPr>
        <w:t xml:space="preserve">– jeżeli po wystąpieniu szkody okaże się, iż w wyniku poleceń/nakazów/decyzji wydanych lub cofniętych przez stosowne władze lub w związku </w:t>
      </w:r>
      <w:r w:rsidRPr="00DE53D8">
        <w:rPr>
          <w:rFonts w:cs="Arial"/>
        </w:rPr>
        <w:br/>
        <w:t xml:space="preserve">z obowiązującymi przepisami prawa ubezpieczający będzie musiał ponieść zwiększone wydatki </w:t>
      </w:r>
      <w:r>
        <w:rPr>
          <w:rFonts w:cs="Arial"/>
        </w:rPr>
        <w:br/>
      </w:r>
      <w:r w:rsidRPr="00DE53D8">
        <w:rPr>
          <w:rFonts w:cs="Arial"/>
        </w:rPr>
        <w:t xml:space="preserve">na odtworzenie mienia lub w jakikolwiek inny sposób nakłady na odtworzenie mienia będą zwiększone </w:t>
      </w:r>
      <w:r>
        <w:rPr>
          <w:rFonts w:cs="Arial"/>
        </w:rPr>
        <w:br/>
      </w:r>
      <w:r w:rsidRPr="00DE53D8">
        <w:rPr>
          <w:rFonts w:cs="Arial"/>
        </w:rPr>
        <w:t xml:space="preserve">w stosunku do faktycznego rozmiaru szkody, ubezpieczyciel pokryje również takie koszty. </w:t>
      </w:r>
      <w:r w:rsidRPr="00DE53D8">
        <w:rPr>
          <w:rFonts w:cs="Tahoma"/>
          <w:snapToGrid w:val="0"/>
          <w:szCs w:val="18"/>
        </w:rPr>
        <w:t xml:space="preserve">Limit </w:t>
      </w:r>
      <w:r>
        <w:rPr>
          <w:rFonts w:cs="Tahoma"/>
          <w:snapToGrid w:val="0"/>
          <w:szCs w:val="18"/>
        </w:rPr>
        <w:br/>
      </w:r>
      <w:r w:rsidRPr="00DE53D8">
        <w:rPr>
          <w:rFonts w:cs="Tahoma"/>
          <w:snapToGrid w:val="0"/>
          <w:szCs w:val="18"/>
        </w:rPr>
        <w:t>w wysokości 500.000 PLN na jedno i wszystkie zdarzenia w okresie ubezpieczenia.</w:t>
      </w:r>
    </w:p>
    <w:p w14:paraId="35427BFA" w14:textId="77777777" w:rsidR="00840555" w:rsidRPr="0081083D" w:rsidRDefault="00840555" w:rsidP="00840555">
      <w:pPr>
        <w:spacing w:line="240" w:lineRule="auto"/>
        <w:jc w:val="both"/>
        <w:rPr>
          <w:rFonts w:cs="Arial"/>
        </w:rPr>
      </w:pPr>
      <w:r w:rsidRPr="0081083D">
        <w:rPr>
          <w:rFonts w:cs="Arial"/>
          <w:b/>
        </w:rPr>
        <w:t xml:space="preserve">(79) Klauzula ograniczająca możliwości odtworzenia mienia w związku </w:t>
      </w:r>
      <w:r>
        <w:rPr>
          <w:rFonts w:cs="Arial"/>
          <w:b/>
        </w:rPr>
        <w:br/>
      </w:r>
      <w:r w:rsidRPr="0081083D">
        <w:rPr>
          <w:rFonts w:cs="Arial"/>
          <w:b/>
        </w:rPr>
        <w:t>z poleceniem/nakazem/decyzją</w:t>
      </w:r>
      <w:r w:rsidRPr="0081083D">
        <w:rPr>
          <w:rFonts w:cs="Arial"/>
        </w:rPr>
        <w:t xml:space="preserve"> – jeżeli po wystąpieniu szkody, w wyniku poleceń/nakazów/decyzji wydanych lub cofniętych przez stosowne władze lub w związku z obowiązującymi przepisami prawa ubezpieczający nie będzie mógł mienia odtworzyć, ubezpieczyciel wypłaci odszkodowanie zgodnie </w:t>
      </w:r>
      <w:r>
        <w:rPr>
          <w:rFonts w:cs="Arial"/>
        </w:rPr>
        <w:br/>
      </w:r>
      <w:r w:rsidRPr="0081083D">
        <w:rPr>
          <w:rFonts w:cs="Arial"/>
        </w:rPr>
        <w:t xml:space="preserve">ze sposobem deklaracji mienia, niezależnie od stopnia faktycznego umorzenia lub stopnia zużycia </w:t>
      </w:r>
      <w:r>
        <w:rPr>
          <w:rFonts w:cs="Arial"/>
        </w:rPr>
        <w:br/>
      </w:r>
      <w:r w:rsidRPr="0081083D">
        <w:rPr>
          <w:rFonts w:cs="Arial"/>
        </w:rPr>
        <w:t>w taki sposób, jakby mienie to zostało odtworzone.</w:t>
      </w:r>
    </w:p>
    <w:p w14:paraId="529AE37C" w14:textId="77777777" w:rsidR="00840555" w:rsidRPr="002C600B" w:rsidRDefault="00840555" w:rsidP="00840555">
      <w:pPr>
        <w:spacing w:line="240" w:lineRule="auto"/>
        <w:jc w:val="both"/>
        <w:rPr>
          <w:rFonts w:ascii="Calibri" w:hAnsi="Calibri" w:cs="Arial"/>
        </w:rPr>
      </w:pPr>
      <w:r w:rsidRPr="002C600B">
        <w:rPr>
          <w:rFonts w:ascii="Calibri" w:hAnsi="Calibri" w:cs="Arial"/>
          <w:b/>
        </w:rPr>
        <w:t>(81) Klauzula sumy prewencyjnej</w:t>
      </w:r>
      <w:r w:rsidRPr="002C600B">
        <w:rPr>
          <w:rFonts w:ascii="Calibri" w:hAnsi="Calibri" w:cs="Arial"/>
        </w:rPr>
        <w:t xml:space="preserve"> – ustala się dodatkową, prewencyjną sumę ubezpieczenia </w:t>
      </w:r>
      <w:r w:rsidRPr="002C600B">
        <w:rPr>
          <w:rFonts w:ascii="Calibri" w:hAnsi="Calibri" w:cs="Arial"/>
        </w:rPr>
        <w:br/>
      </w:r>
      <w:r>
        <w:rPr>
          <w:rFonts w:ascii="Calibri" w:hAnsi="Calibri" w:cs="Arial"/>
        </w:rPr>
        <w:t>w wysokości 1.</w:t>
      </w:r>
      <w:r w:rsidRPr="002C600B">
        <w:rPr>
          <w:rFonts w:ascii="Calibri" w:hAnsi="Calibri" w:cs="Arial"/>
        </w:rPr>
        <w:t>000</w:t>
      </w:r>
      <w:r>
        <w:rPr>
          <w:rFonts w:ascii="Calibri" w:hAnsi="Calibri" w:cs="Arial"/>
        </w:rPr>
        <w:t>.000 PLN</w:t>
      </w:r>
      <w:r w:rsidRPr="002C600B">
        <w:rPr>
          <w:rFonts w:ascii="Calibri" w:hAnsi="Calibri" w:cs="Arial"/>
        </w:rPr>
        <w:t xml:space="preserve"> w celu ograniczenia ewentualnego niedoubezpieczenia.</w:t>
      </w:r>
    </w:p>
    <w:p w14:paraId="1B15F8B2" w14:textId="77777777" w:rsidR="00840555" w:rsidRPr="002C600B" w:rsidRDefault="00840555" w:rsidP="00840555">
      <w:pPr>
        <w:spacing w:line="240" w:lineRule="auto"/>
        <w:jc w:val="both"/>
        <w:rPr>
          <w:rFonts w:ascii="Calibri" w:hAnsi="Calibri" w:cs="Arial"/>
        </w:rPr>
      </w:pPr>
      <w:r w:rsidRPr="002C600B">
        <w:rPr>
          <w:rFonts w:ascii="Calibri" w:hAnsi="Calibri" w:cs="Arial"/>
          <w:b/>
        </w:rPr>
        <w:t>(90) Klauzula braków inwentarzowych</w:t>
      </w:r>
      <w:r w:rsidRPr="002C600B">
        <w:rPr>
          <w:rFonts w:ascii="Calibri" w:hAnsi="Calibri" w:cs="Arial"/>
        </w:rPr>
        <w:t xml:space="preserve"> – ochronę ubezpieczeniową rozszerza się o szkody polegające na niewyjaśnionym zniknięciu, lub których powstanie zostało ujawnione dopiero podczas przeprowadzania inwentaryzacji. Limit 5</w:t>
      </w:r>
      <w:r>
        <w:rPr>
          <w:rFonts w:ascii="Calibri" w:hAnsi="Calibri" w:cs="Arial"/>
        </w:rPr>
        <w:t>0.000 PLN</w:t>
      </w:r>
      <w:r w:rsidRPr="002C600B">
        <w:rPr>
          <w:rFonts w:ascii="Calibri" w:hAnsi="Calibri" w:cs="Arial"/>
        </w:rPr>
        <w:t xml:space="preserve"> na jedno i wszystkie zdarzenia w okresie ubezpieczenia.</w:t>
      </w:r>
    </w:p>
    <w:p w14:paraId="34F286AD" w14:textId="77777777" w:rsidR="00840555" w:rsidRPr="002C600B" w:rsidRDefault="00840555" w:rsidP="00840555">
      <w:pPr>
        <w:spacing w:line="240" w:lineRule="auto"/>
        <w:jc w:val="both"/>
        <w:rPr>
          <w:rFonts w:ascii="Calibri" w:hAnsi="Calibri" w:cs="Arial"/>
        </w:rPr>
      </w:pPr>
      <w:r w:rsidRPr="002C600B">
        <w:rPr>
          <w:rFonts w:ascii="Calibri" w:hAnsi="Calibri" w:cs="Arial"/>
          <w:b/>
        </w:rPr>
        <w:t>(91) Klauzula podatku VAT</w:t>
      </w:r>
      <w:r w:rsidRPr="002C600B">
        <w:rPr>
          <w:rFonts w:ascii="Calibri" w:hAnsi="Calibri" w:cs="Arial"/>
        </w:rPr>
        <w:t xml:space="preserve"> – jeżeli sumy ubezpieczenia zawierają podatek VAT, odszkodowanie zostanie powiększone o sumę podatku VAT.</w:t>
      </w:r>
    </w:p>
    <w:p w14:paraId="572575A9" w14:textId="77777777" w:rsidR="00840555" w:rsidRPr="0081083D" w:rsidRDefault="00840555" w:rsidP="00840555">
      <w:pPr>
        <w:spacing w:line="240" w:lineRule="auto"/>
        <w:jc w:val="both"/>
        <w:rPr>
          <w:rFonts w:cs="Arial"/>
        </w:rPr>
      </w:pPr>
      <w:r w:rsidRPr="0081083D">
        <w:rPr>
          <w:rFonts w:cs="Arial"/>
          <w:b/>
        </w:rPr>
        <w:t>(93) Klauzula lokalizacji opuszczonych</w:t>
      </w:r>
      <w:r w:rsidRPr="0081083D">
        <w:rPr>
          <w:rFonts w:cs="Arial"/>
        </w:rPr>
        <w:t xml:space="preserve"> – ochroną ubezpieczeniową objęte są lokalizacje/obiekty opuszczone i niewykorzystywane przez okres dłuższy niż 30 dni bez względu na przyczynę opuszczenia, ograniczenia lub zaprzestania działalności. Limit 1</w:t>
      </w:r>
      <w:r>
        <w:rPr>
          <w:rFonts w:cs="Arial"/>
        </w:rPr>
        <w:t>.</w:t>
      </w:r>
      <w:r w:rsidRPr="0081083D">
        <w:rPr>
          <w:rFonts w:cs="Arial"/>
        </w:rPr>
        <w:t>000</w:t>
      </w:r>
      <w:r>
        <w:rPr>
          <w:rFonts w:cs="Arial"/>
        </w:rPr>
        <w:t>.</w:t>
      </w:r>
      <w:r w:rsidRPr="0081083D">
        <w:rPr>
          <w:rFonts w:cs="Arial"/>
        </w:rPr>
        <w:t>000 na jedno i wszystkie zdarzenia w okresie ubezpieczenia.</w:t>
      </w:r>
    </w:p>
    <w:p w14:paraId="531FB3ED" w14:textId="7DF57F5E" w:rsidR="00840555" w:rsidRDefault="00840555" w:rsidP="00840555">
      <w:pPr>
        <w:spacing w:line="240" w:lineRule="auto"/>
        <w:jc w:val="both"/>
        <w:rPr>
          <w:rFonts w:cs="Arial"/>
        </w:rPr>
      </w:pPr>
      <w:r w:rsidRPr="0081083D">
        <w:rPr>
          <w:rFonts w:cs="Arial"/>
          <w:b/>
        </w:rPr>
        <w:t>(94) Klauzula elementów zewnętrznych</w:t>
      </w:r>
      <w:r w:rsidRPr="0081083D">
        <w:rPr>
          <w:rFonts w:cs="Arial"/>
        </w:rPr>
        <w:t xml:space="preserve"> – </w:t>
      </w:r>
      <w:r w:rsidRPr="00FA1836">
        <w:rPr>
          <w:rFonts w:cs="Arial"/>
        </w:rPr>
        <w:t xml:space="preserve">ochroną ubezpieczeniową objęte są szkody w ogrodzeniach, bramach, napędach bram, garażach i rampach załadunkowych, a także namioty, linie i bocznice kolejowe, parkingi, drogi, podjazdy, jezdnie, chodniki, pasy startowe, kładki/pomosty, </w:t>
      </w:r>
      <w:r w:rsidRPr="00FA1836">
        <w:rPr>
          <w:rFonts w:cs="Arial"/>
        </w:rPr>
        <w:lastRenderedPageBreak/>
        <w:t xml:space="preserve">przejścia </w:t>
      </w:r>
      <w:r>
        <w:rPr>
          <w:rFonts w:cs="Arial"/>
        </w:rPr>
        <w:br/>
      </w:r>
      <w:r w:rsidRPr="00FA1836">
        <w:rPr>
          <w:rFonts w:cs="Arial"/>
        </w:rPr>
        <w:t>dla pracowników, tunele, mosty, linie przesyłowe/dystrybucyjne/transmisyjne/rozdzielcze/</w:t>
      </w:r>
      <w:r>
        <w:rPr>
          <w:rFonts w:cs="Arial"/>
        </w:rPr>
        <w:br/>
      </w:r>
      <w:r w:rsidRPr="00FA1836">
        <w:rPr>
          <w:rFonts w:cs="Arial"/>
        </w:rPr>
        <w:t>komunikacyjne (także podziemne), w tym przewody, kable, słupy, rurociągi, wieże, lampy, wszelki sprzęt, który może być połączony z tymi instalacjami, znajdujący się w obrębie ubezpieczonych lokalizacji/obiektów. Ponadto ochrona ubezpieczeniowa obejmuje szkody w przedmiotach trwale zamocowanych do budynków/budowli, takich jak np.: kam</w:t>
      </w:r>
      <w:r>
        <w:rPr>
          <w:rFonts w:cs="Arial"/>
        </w:rPr>
        <w:t xml:space="preserve">ery przemysłowe, anteny wraz </w:t>
      </w:r>
      <w:r>
        <w:rPr>
          <w:rFonts w:cs="Arial"/>
        </w:rPr>
        <w:br/>
      </w:r>
      <w:r w:rsidRPr="00FA1836">
        <w:rPr>
          <w:rFonts w:cs="Arial"/>
        </w:rPr>
        <w:t xml:space="preserve">z konstrukcjami mocującymi, sprzęt oświetleniowy, klimatyzatory. Jednocześnie ustala się limit </w:t>
      </w:r>
      <w:r>
        <w:rPr>
          <w:rFonts w:cs="Arial"/>
        </w:rPr>
        <w:br/>
        <w:t>10</w:t>
      </w:r>
      <w:r w:rsidRPr="00FA1836">
        <w:rPr>
          <w:rFonts w:cs="Arial"/>
        </w:rPr>
        <w:t>0</w:t>
      </w:r>
      <w:r>
        <w:rPr>
          <w:rFonts w:cs="Arial"/>
        </w:rPr>
        <w:t>.</w:t>
      </w:r>
      <w:r w:rsidRPr="00FA1836">
        <w:rPr>
          <w:rFonts w:cs="Arial"/>
        </w:rPr>
        <w:t xml:space="preserve">000 </w:t>
      </w:r>
      <w:r>
        <w:rPr>
          <w:rFonts w:cs="Arial"/>
        </w:rPr>
        <w:t>PLN</w:t>
      </w:r>
      <w:r w:rsidRPr="00FA1836">
        <w:rPr>
          <w:rFonts w:cs="Arial"/>
        </w:rPr>
        <w:t xml:space="preserve"> na jedno i wszystkie zdarzenia w okresie ubezpieczenia dl</w:t>
      </w:r>
      <w:r>
        <w:rPr>
          <w:rFonts w:cs="Arial"/>
        </w:rPr>
        <w:t xml:space="preserve">a </w:t>
      </w:r>
      <w:proofErr w:type="spellStart"/>
      <w:r>
        <w:rPr>
          <w:rFonts w:cs="Arial"/>
        </w:rPr>
        <w:t>ryzyk</w:t>
      </w:r>
      <w:proofErr w:type="spellEnd"/>
      <w:r>
        <w:rPr>
          <w:rFonts w:cs="Arial"/>
        </w:rPr>
        <w:t xml:space="preserve"> wandalizmu/dewastacji. </w:t>
      </w:r>
      <w:proofErr w:type="spellStart"/>
      <w:r w:rsidRPr="00FA1836">
        <w:rPr>
          <w:rFonts w:cs="Arial"/>
        </w:rPr>
        <w:t>Podlimit</w:t>
      </w:r>
      <w:proofErr w:type="spellEnd"/>
      <w:r w:rsidRPr="00FA1836">
        <w:rPr>
          <w:rFonts w:cs="Arial"/>
        </w:rPr>
        <w:t xml:space="preserve"> </w:t>
      </w:r>
      <w:r w:rsidR="00D87AD4">
        <w:rPr>
          <w:rFonts w:cs="Arial"/>
        </w:rPr>
        <w:t>10</w:t>
      </w:r>
      <w:r>
        <w:rPr>
          <w:rFonts w:cs="Arial"/>
        </w:rPr>
        <w:t>.</w:t>
      </w:r>
      <w:r w:rsidRPr="00FA1836">
        <w:rPr>
          <w:rFonts w:cs="Arial"/>
        </w:rPr>
        <w:t xml:space="preserve">000 </w:t>
      </w:r>
      <w:r>
        <w:rPr>
          <w:rFonts w:cs="Arial"/>
        </w:rPr>
        <w:t>PLN.</w:t>
      </w:r>
      <w:r w:rsidRPr="00FA1836">
        <w:rPr>
          <w:rFonts w:cs="Arial"/>
        </w:rPr>
        <w:t xml:space="preserve"> na jedno i wszystkie zdarzenia związane z graffiti w okresie ubezpieczenia</w:t>
      </w:r>
      <w:r>
        <w:rPr>
          <w:rFonts w:cs="Arial"/>
        </w:rPr>
        <w:t>.</w:t>
      </w:r>
    </w:p>
    <w:p w14:paraId="02467BA5" w14:textId="77777777" w:rsidR="00840555" w:rsidRPr="0081083D" w:rsidRDefault="00840555" w:rsidP="00840555">
      <w:pPr>
        <w:spacing w:line="240" w:lineRule="auto"/>
        <w:jc w:val="both"/>
        <w:rPr>
          <w:rFonts w:cs="Arial"/>
        </w:rPr>
      </w:pPr>
      <w:r>
        <w:rPr>
          <w:rFonts w:cs="Arial"/>
          <w:b/>
        </w:rPr>
        <w:t>(</w:t>
      </w:r>
      <w:r w:rsidRPr="0081083D">
        <w:rPr>
          <w:rFonts w:cs="Arial"/>
          <w:b/>
        </w:rPr>
        <w:t>97) Klauzula możliwości prowadzenia działalności po szkodzie</w:t>
      </w:r>
      <w:r w:rsidRPr="0081083D">
        <w:rPr>
          <w:rFonts w:cs="Arial"/>
        </w:rPr>
        <w:t xml:space="preserve"> – w przypadku wystąpienia szkody kradzieżowej, po zawiadomieniu ubezpieczyciela i odpowiednich organów Policji, ubezpieczający może prowadzić dalszą działalność bez względu na czas przybycia przedstawiciela ubezpieczyciela.</w:t>
      </w:r>
    </w:p>
    <w:p w14:paraId="650215AC" w14:textId="7E34C0A7" w:rsidR="00840555" w:rsidRDefault="00840555" w:rsidP="00840555">
      <w:pPr>
        <w:spacing w:line="240" w:lineRule="auto"/>
        <w:jc w:val="both"/>
        <w:rPr>
          <w:rFonts w:cs="Arial"/>
        </w:rPr>
      </w:pPr>
      <w:r w:rsidRPr="0081083D">
        <w:rPr>
          <w:rFonts w:cs="Arial"/>
          <w:b/>
        </w:rPr>
        <w:t>(100) Klauzula montażu-demontażu</w:t>
      </w:r>
      <w:r w:rsidRPr="0081083D">
        <w:rPr>
          <w:rFonts w:cs="Arial"/>
        </w:rPr>
        <w:t xml:space="preserve"> – ochronę ubezpieczeniową rozszerza się na szkody powstałe </w:t>
      </w:r>
      <w:r>
        <w:rPr>
          <w:rFonts w:cs="Arial"/>
        </w:rPr>
        <w:br/>
      </w:r>
      <w:r w:rsidRPr="0081083D">
        <w:rPr>
          <w:rFonts w:cs="Arial"/>
        </w:rPr>
        <w:t>w czasie montażu-demontażu ubezpieczonego mienia.</w:t>
      </w:r>
      <w:r>
        <w:rPr>
          <w:rFonts w:cs="Arial"/>
        </w:rPr>
        <w:t xml:space="preserve"> Limit: 500.000 PLN na jedno i wszystkie zdarzenia w okresie ubezpieczenia.</w:t>
      </w:r>
    </w:p>
    <w:p w14:paraId="48CFBDBB" w14:textId="64AE7A89" w:rsidR="00592F01" w:rsidRDefault="00592F01" w:rsidP="00840555">
      <w:pPr>
        <w:spacing w:line="240" w:lineRule="auto"/>
        <w:jc w:val="both"/>
        <w:rPr>
          <w:rFonts w:cs="Arial"/>
        </w:rPr>
      </w:pPr>
      <w:r w:rsidRPr="00D54A31">
        <w:rPr>
          <w:rFonts w:cs="Arial"/>
          <w:b/>
        </w:rPr>
        <w:t xml:space="preserve">Klauzula funduszu prewencyjnego – </w:t>
      </w:r>
      <w:r>
        <w:rPr>
          <w:rFonts w:cs="Tahoma"/>
          <w:snapToGrid w:val="0"/>
          <w:szCs w:val="18"/>
        </w:rPr>
        <w:t>Ubezpieczyciel przyznaje dofinansowanie</w:t>
      </w:r>
      <w:r w:rsidRPr="00286D9D">
        <w:rPr>
          <w:rFonts w:cs="Tahoma"/>
          <w:snapToGrid w:val="0"/>
          <w:szCs w:val="18"/>
        </w:rPr>
        <w:t xml:space="preserve"> ze środków funduszu prewencyjnego w okresie </w:t>
      </w:r>
      <w:r>
        <w:rPr>
          <w:rFonts w:cs="Tahoma"/>
          <w:snapToGrid w:val="0"/>
          <w:szCs w:val="18"/>
        </w:rPr>
        <w:t xml:space="preserve">od 1 czerwca 2022 r. do 31 maja 2024 r. </w:t>
      </w:r>
      <w:r w:rsidRPr="00286D9D">
        <w:rPr>
          <w:rFonts w:cs="Tahoma"/>
          <w:snapToGrid w:val="0"/>
          <w:szCs w:val="18"/>
        </w:rPr>
        <w:t xml:space="preserve"> w </w:t>
      </w:r>
      <w:r>
        <w:rPr>
          <w:rFonts w:cs="Tahoma"/>
          <w:snapToGrid w:val="0"/>
          <w:szCs w:val="18"/>
        </w:rPr>
        <w:t xml:space="preserve">kwocie odpowiadającej 10% wysokości składki rocznej w każdym roku polisowym, </w:t>
      </w:r>
      <w:r w:rsidRPr="00286D9D">
        <w:rPr>
          <w:rFonts w:cs="Tahoma"/>
          <w:snapToGrid w:val="0"/>
          <w:szCs w:val="18"/>
        </w:rPr>
        <w:t>do wykorzystania w okresie obowiązywania</w:t>
      </w:r>
      <w:r>
        <w:rPr>
          <w:rFonts w:cs="Tahoma"/>
          <w:snapToGrid w:val="0"/>
          <w:szCs w:val="18"/>
        </w:rPr>
        <w:t xml:space="preserve"> umowy</w:t>
      </w:r>
      <w:r w:rsidRPr="00286D9D">
        <w:rPr>
          <w:rFonts w:cs="Tahoma"/>
          <w:snapToGrid w:val="0"/>
          <w:szCs w:val="18"/>
        </w:rPr>
        <w:t xml:space="preserve"> ubezpieczenia. Środki zostaną wypłacone </w:t>
      </w:r>
      <w:r>
        <w:rPr>
          <w:rFonts w:cs="Tahoma"/>
          <w:snapToGrid w:val="0"/>
          <w:szCs w:val="18"/>
        </w:rPr>
        <w:t xml:space="preserve">na </w:t>
      </w:r>
      <w:r w:rsidRPr="00286D9D">
        <w:rPr>
          <w:rFonts w:cs="Tahoma"/>
          <w:snapToGrid w:val="0"/>
          <w:szCs w:val="18"/>
        </w:rPr>
        <w:t>cel prewencyjny</w:t>
      </w:r>
      <w:r>
        <w:rPr>
          <w:rFonts w:cs="Tahoma"/>
          <w:snapToGrid w:val="0"/>
          <w:szCs w:val="18"/>
        </w:rPr>
        <w:t xml:space="preserve"> uzgodniony z Ubezpieczycielem.</w:t>
      </w:r>
    </w:p>
    <w:p w14:paraId="1C065230" w14:textId="2A0E7ED0" w:rsidR="00840555" w:rsidRDefault="00840555" w:rsidP="00840555">
      <w:pPr>
        <w:spacing w:after="0" w:line="240" w:lineRule="auto"/>
        <w:jc w:val="both"/>
        <w:rPr>
          <w:rFonts w:cs="Arial"/>
        </w:rPr>
      </w:pPr>
    </w:p>
    <w:p w14:paraId="0923B48D" w14:textId="39D24789" w:rsidR="004C15BA" w:rsidRDefault="004C15BA" w:rsidP="00840555">
      <w:pPr>
        <w:spacing w:after="0" w:line="240" w:lineRule="auto"/>
        <w:jc w:val="both"/>
        <w:rPr>
          <w:rFonts w:cs="Arial"/>
        </w:rPr>
      </w:pPr>
    </w:p>
    <w:p w14:paraId="530F2318" w14:textId="77777777" w:rsidR="004C15BA" w:rsidRDefault="004C15BA" w:rsidP="00840555">
      <w:pPr>
        <w:spacing w:after="0" w:line="240" w:lineRule="auto"/>
        <w:jc w:val="both"/>
        <w:rPr>
          <w:rFonts w:cs="Arial"/>
        </w:rPr>
      </w:pPr>
    </w:p>
    <w:p w14:paraId="191874C8" w14:textId="77777777" w:rsidR="006A696A" w:rsidRPr="007518C9" w:rsidRDefault="006A696A" w:rsidP="006A696A">
      <w:pPr>
        <w:pStyle w:val="Akapitzlist"/>
        <w:numPr>
          <w:ilvl w:val="0"/>
          <w:numId w:val="6"/>
        </w:numPr>
        <w:spacing w:after="160" w:line="276" w:lineRule="auto"/>
        <w:jc w:val="both"/>
        <w:rPr>
          <w:b/>
          <w:sz w:val="28"/>
          <w:szCs w:val="28"/>
          <w:lang w:val="pl-PL"/>
        </w:rPr>
      </w:pPr>
      <w:r w:rsidRPr="007518C9">
        <w:rPr>
          <w:b/>
          <w:sz w:val="28"/>
          <w:szCs w:val="28"/>
          <w:lang w:val="pl-PL"/>
        </w:rPr>
        <w:t>Ubezpieczenie sprzętu</w:t>
      </w:r>
      <w:r>
        <w:rPr>
          <w:b/>
          <w:sz w:val="28"/>
          <w:szCs w:val="28"/>
          <w:lang w:val="pl-PL"/>
        </w:rPr>
        <w:t xml:space="preserve"> elektronicznego</w:t>
      </w:r>
      <w:r w:rsidRPr="007518C9">
        <w:rPr>
          <w:b/>
          <w:sz w:val="28"/>
          <w:szCs w:val="28"/>
          <w:lang w:val="pl-PL"/>
        </w:rPr>
        <w:t xml:space="preserve"> od wszystkich </w:t>
      </w:r>
      <w:proofErr w:type="spellStart"/>
      <w:r w:rsidRPr="007518C9">
        <w:rPr>
          <w:b/>
          <w:sz w:val="28"/>
          <w:szCs w:val="28"/>
          <w:lang w:val="pl-PL"/>
        </w:rPr>
        <w:t>ryzyk</w:t>
      </w:r>
      <w:proofErr w:type="spellEnd"/>
    </w:p>
    <w:p w14:paraId="5A44CBB6" w14:textId="77777777" w:rsidR="006A696A" w:rsidRPr="0081083D" w:rsidRDefault="006A696A" w:rsidP="006A696A">
      <w:pPr>
        <w:pStyle w:val="Akapitzlist"/>
        <w:numPr>
          <w:ilvl w:val="0"/>
          <w:numId w:val="7"/>
        </w:numPr>
        <w:spacing w:after="160" w:line="276" w:lineRule="auto"/>
        <w:jc w:val="both"/>
        <w:rPr>
          <w:rFonts w:cs="Arial"/>
          <w:b/>
        </w:rPr>
      </w:pPr>
      <w:proofErr w:type="spellStart"/>
      <w:r w:rsidRPr="0081083D">
        <w:rPr>
          <w:rFonts w:cs="Arial"/>
          <w:b/>
        </w:rPr>
        <w:t>Wnioskowany</w:t>
      </w:r>
      <w:proofErr w:type="spellEnd"/>
      <w:r w:rsidRPr="0081083D">
        <w:rPr>
          <w:rFonts w:cs="Arial"/>
          <w:b/>
        </w:rPr>
        <w:t xml:space="preserve"> </w:t>
      </w:r>
      <w:proofErr w:type="spellStart"/>
      <w:r w:rsidRPr="0081083D">
        <w:rPr>
          <w:rFonts w:cs="Arial"/>
          <w:b/>
        </w:rPr>
        <w:t>zakres</w:t>
      </w:r>
      <w:proofErr w:type="spellEnd"/>
      <w:r w:rsidRPr="0081083D">
        <w:rPr>
          <w:rFonts w:cs="Arial"/>
          <w:b/>
        </w:rPr>
        <w:t xml:space="preserve"> </w:t>
      </w:r>
      <w:proofErr w:type="spellStart"/>
      <w:r w:rsidRPr="0081083D">
        <w:rPr>
          <w:rFonts w:cs="Arial"/>
          <w:b/>
        </w:rPr>
        <w:t>ubezpieczenia</w:t>
      </w:r>
      <w:proofErr w:type="spellEnd"/>
    </w:p>
    <w:p w14:paraId="1C47ED28" w14:textId="77777777" w:rsidR="006A696A" w:rsidRPr="0081083D" w:rsidRDefault="006A696A" w:rsidP="006A696A">
      <w:pPr>
        <w:spacing w:line="276" w:lineRule="auto"/>
        <w:jc w:val="both"/>
        <w:rPr>
          <w:rFonts w:cs="Arial"/>
        </w:rPr>
      </w:pPr>
      <w:r w:rsidRPr="0081083D">
        <w:rPr>
          <w:rFonts w:cs="Arial"/>
        </w:rPr>
        <w:t xml:space="preserve">Ochroną ubezpieczeniową objęte są wszystkie szkody w ubezpieczonym mieniu, powstałe w okresie </w:t>
      </w:r>
      <w:r>
        <w:rPr>
          <w:rFonts w:cs="Arial"/>
        </w:rPr>
        <w:br/>
      </w:r>
      <w:r w:rsidRPr="0081083D">
        <w:rPr>
          <w:rFonts w:cs="Arial"/>
        </w:rPr>
        <w:t>i miejscu ubezpieczenia w wyniku wystąpienia zdarzeń losowych. Ochrona ubezpi</w:t>
      </w:r>
      <w:r>
        <w:rPr>
          <w:rFonts w:cs="Arial"/>
        </w:rPr>
        <w:t xml:space="preserve">eczeniowa nie może zawierać </w:t>
      </w:r>
      <w:proofErr w:type="spellStart"/>
      <w:r>
        <w:rPr>
          <w:rFonts w:cs="Arial"/>
        </w:rPr>
        <w:t>wyłą</w:t>
      </w:r>
      <w:r w:rsidRPr="0081083D">
        <w:rPr>
          <w:rFonts w:cs="Arial"/>
        </w:rPr>
        <w:t>czeń</w:t>
      </w:r>
      <w:proofErr w:type="spellEnd"/>
      <w:r w:rsidRPr="0081083D">
        <w:rPr>
          <w:rFonts w:cs="Arial"/>
        </w:rPr>
        <w:t xml:space="preserve"> w następującym zakresie </w:t>
      </w:r>
      <w:proofErr w:type="spellStart"/>
      <w:r w:rsidRPr="0081083D">
        <w:rPr>
          <w:rFonts w:cs="Arial"/>
        </w:rPr>
        <w:t>ryzyk</w:t>
      </w:r>
      <w:proofErr w:type="spellEnd"/>
      <w:r w:rsidRPr="0081083D">
        <w:rPr>
          <w:rFonts w:cs="Arial"/>
        </w:rPr>
        <w:t xml:space="preserve">: ogień, uderzenie pioruna, eksplozja (brak wymogu rozdarcia ścian)/implozja, przymusowe lądowanie lub upadek statku powietrznego, jego części, przewożonego nim ładunku lub zrzut paliwa, szkody polegające na zniszczeniu lub uszkodzeniu ubezpieczonego mienia spowodowane uderzeniem pojazdu mechanicznego lub przewożonego nim ładunku, w tym pojazdu lub ładunku należącego lub eksploatowanego przez ubezpieczającego </w:t>
      </w:r>
      <w:r>
        <w:rPr>
          <w:rFonts w:cs="Arial"/>
        </w:rPr>
        <w:br/>
      </w:r>
      <w:r w:rsidRPr="0081083D">
        <w:rPr>
          <w:rFonts w:cs="Arial"/>
        </w:rPr>
        <w:t xml:space="preserve">lub osoby, za które ponosi on odpowiedzialność, huragan (parametr prędkości wiatru 10,8 m/s), zamieć, powódź, topnienie kry lodowej, tworzenie się zatorów lodowych, przesiąkanie wód gruntowych i opadowych, spływ wód po zboczach, podtopienie, sztorm, podniesienie się poziomu wód przybrzeżnych, tsunami, tajfun, cyklon, tornado, deszcz nawalny, grad, śnieg (w tym szkody </w:t>
      </w:r>
      <w:r>
        <w:rPr>
          <w:rFonts w:cs="Arial"/>
        </w:rPr>
        <w:br/>
      </w:r>
      <w:r w:rsidRPr="0081083D">
        <w:rPr>
          <w:rFonts w:cs="Arial"/>
        </w:rPr>
        <w:t xml:space="preserve">w przedmiocie ubezpieczenia na skutek naporu śniegu lub lodu), oblodzenie, mróz (temperatura powietrza poniżej 0°C), szadź, upał, huk ponaddźwiękowy, dym, sadza, szkody polegające na opaleniu, osmaleniu, przypaleniu, wypaleniu, żarzeniu bez widocznego ognia, stopieniu, zwęgleniu, osunięcie </w:t>
      </w:r>
      <w:r>
        <w:rPr>
          <w:rFonts w:cs="Arial"/>
        </w:rPr>
        <w:br/>
      </w:r>
      <w:r w:rsidRPr="0081083D">
        <w:rPr>
          <w:rFonts w:cs="Arial"/>
        </w:rPr>
        <w:t xml:space="preserve">i zapadanie się ziemi, trzęsienie ziemi, tąpnięcie, zasypanie, lawina, wybuch wulkanu, zalanie, szkody wodociągowe, guano ptasie, upadek (w tym na skutek naporu śniegu lub lodu) drzew lub ich konarów, masztów, dźwigów, kominów, słupów, wież, anten, budynków, budowli, urządzeń technicznych lub ich elementów, przedmiotów unoszonych przez wiatr, mienia sąsiedniego na </w:t>
      </w:r>
      <w:r w:rsidRPr="0081083D">
        <w:rPr>
          <w:rFonts w:cs="Arial"/>
        </w:rPr>
        <w:lastRenderedPageBreak/>
        <w:t>ubezpieczone mienie, utrata, zniszczenie lub uszkodzenie ubezpieczonego mienia w wyniku akcji ratowniczej, wyburzania, odgruzowywania lub innej, prowadzonej w związku z wystąpieniem zdarzeń losowych objętych zakresem ubezpieczenia, usiłowanie/dokonanie kradzieży z włamaniem lub rozboju/rabunku.</w:t>
      </w:r>
    </w:p>
    <w:p w14:paraId="0E61E636" w14:textId="77777777" w:rsidR="006A696A" w:rsidRPr="0081083D" w:rsidRDefault="006A696A" w:rsidP="006A696A">
      <w:pPr>
        <w:spacing w:line="276" w:lineRule="auto"/>
        <w:jc w:val="both"/>
        <w:rPr>
          <w:rFonts w:cs="Arial"/>
        </w:rPr>
      </w:pPr>
    </w:p>
    <w:p w14:paraId="5CC94E74" w14:textId="77777777" w:rsidR="006A696A" w:rsidRPr="0081083D" w:rsidRDefault="006A696A" w:rsidP="006A696A">
      <w:pPr>
        <w:pStyle w:val="Akapitzlist"/>
        <w:numPr>
          <w:ilvl w:val="0"/>
          <w:numId w:val="7"/>
        </w:numPr>
        <w:spacing w:after="160" w:line="276" w:lineRule="auto"/>
        <w:jc w:val="both"/>
        <w:rPr>
          <w:rFonts w:cs="Arial"/>
          <w:b/>
        </w:rPr>
      </w:pPr>
      <w:r w:rsidRPr="0081083D">
        <w:rPr>
          <w:rFonts w:cs="Arial"/>
          <w:b/>
        </w:rPr>
        <w:t xml:space="preserve">System </w:t>
      </w:r>
      <w:proofErr w:type="spellStart"/>
      <w:r w:rsidRPr="0081083D">
        <w:rPr>
          <w:rFonts w:cs="Arial"/>
          <w:b/>
        </w:rPr>
        <w:t>ubezpieczenia</w:t>
      </w:r>
      <w:proofErr w:type="spellEnd"/>
    </w:p>
    <w:p w14:paraId="1D3E1024" w14:textId="77777777" w:rsidR="008C06EF" w:rsidRDefault="006A696A" w:rsidP="006A696A">
      <w:pPr>
        <w:spacing w:line="240" w:lineRule="auto"/>
        <w:jc w:val="both"/>
        <w:rPr>
          <w:rFonts w:cs="Arial"/>
        </w:rPr>
      </w:pPr>
      <w:r>
        <w:rPr>
          <w:rFonts w:cs="Arial"/>
        </w:rPr>
        <w:t>Środki trwałe (</w:t>
      </w:r>
      <w:r w:rsidRPr="00C71777">
        <w:rPr>
          <w:rFonts w:cs="Arial"/>
        </w:rPr>
        <w:t>sprzęt elektroniczny medyczny i niemedyczny, mienie będące przedmiotem leasingu) – sumy stałe</w:t>
      </w:r>
    </w:p>
    <w:p w14:paraId="1C8B7C3F" w14:textId="7B58EB0B" w:rsidR="006A696A" w:rsidRPr="00C71777" w:rsidRDefault="006A696A" w:rsidP="006A696A">
      <w:pPr>
        <w:spacing w:line="240" w:lineRule="auto"/>
        <w:jc w:val="both"/>
        <w:rPr>
          <w:rFonts w:cs="Arial"/>
        </w:rPr>
      </w:pPr>
      <w:r w:rsidRPr="00C71777">
        <w:rPr>
          <w:rFonts w:cs="Arial"/>
        </w:rPr>
        <w:t>Wyposażenie karetek – sumy stałe</w:t>
      </w:r>
    </w:p>
    <w:p w14:paraId="2E2A3C47" w14:textId="77777777" w:rsidR="006A696A" w:rsidRPr="00C71777" w:rsidRDefault="006A696A" w:rsidP="006A696A">
      <w:pPr>
        <w:spacing w:line="240" w:lineRule="auto"/>
        <w:jc w:val="both"/>
        <w:rPr>
          <w:rFonts w:cs="Arial"/>
        </w:rPr>
      </w:pPr>
      <w:r w:rsidRPr="00C71777">
        <w:rPr>
          <w:rFonts w:cs="Arial"/>
        </w:rPr>
        <w:t>Koszty odtworzenia danych/systemu informatycznego – pierwsze ryzyko</w:t>
      </w:r>
    </w:p>
    <w:p w14:paraId="25573CE5" w14:textId="5065B4BD" w:rsidR="006A696A" w:rsidRDefault="006A696A" w:rsidP="006A696A">
      <w:pPr>
        <w:spacing w:after="0" w:line="276" w:lineRule="auto"/>
        <w:jc w:val="both"/>
        <w:rPr>
          <w:rFonts w:cs="Arial"/>
        </w:rPr>
      </w:pPr>
    </w:p>
    <w:p w14:paraId="68D396CA" w14:textId="184CC550" w:rsidR="008C2D12" w:rsidRDefault="008C2D12" w:rsidP="006A696A">
      <w:pPr>
        <w:spacing w:after="0" w:line="276" w:lineRule="auto"/>
        <w:jc w:val="both"/>
        <w:rPr>
          <w:rFonts w:cs="Arial"/>
        </w:rPr>
      </w:pPr>
    </w:p>
    <w:p w14:paraId="543A4030" w14:textId="59BD5F22" w:rsidR="008C2D12" w:rsidRDefault="008C2D12" w:rsidP="006A696A">
      <w:pPr>
        <w:spacing w:after="0" w:line="276" w:lineRule="auto"/>
        <w:jc w:val="both"/>
        <w:rPr>
          <w:rFonts w:cs="Arial"/>
        </w:rPr>
      </w:pPr>
    </w:p>
    <w:p w14:paraId="50F77231" w14:textId="3FE4AFA5" w:rsidR="008C2D12" w:rsidRDefault="008C2D12" w:rsidP="006A696A">
      <w:pPr>
        <w:spacing w:after="0" w:line="276" w:lineRule="auto"/>
        <w:jc w:val="both"/>
        <w:rPr>
          <w:rFonts w:cs="Arial"/>
        </w:rPr>
      </w:pPr>
    </w:p>
    <w:p w14:paraId="433331B8" w14:textId="1E074573" w:rsidR="008C2D12" w:rsidRDefault="008C2D12" w:rsidP="006A696A">
      <w:pPr>
        <w:spacing w:after="0" w:line="276" w:lineRule="auto"/>
        <w:jc w:val="both"/>
        <w:rPr>
          <w:rFonts w:cs="Arial"/>
        </w:rPr>
      </w:pPr>
    </w:p>
    <w:p w14:paraId="18000BF2" w14:textId="77777777" w:rsidR="008C2D12" w:rsidRDefault="008C2D12" w:rsidP="006A696A">
      <w:pPr>
        <w:spacing w:after="0" w:line="276" w:lineRule="auto"/>
        <w:jc w:val="both"/>
        <w:rPr>
          <w:rFonts w:cs="Arial"/>
        </w:rPr>
      </w:pPr>
    </w:p>
    <w:p w14:paraId="1EC7F383" w14:textId="77777777" w:rsidR="006A696A" w:rsidRPr="0081083D" w:rsidRDefault="006A696A" w:rsidP="006A696A">
      <w:pPr>
        <w:spacing w:after="0" w:line="276" w:lineRule="auto"/>
        <w:jc w:val="both"/>
        <w:rPr>
          <w:rFonts w:cs="Arial"/>
        </w:rPr>
      </w:pPr>
    </w:p>
    <w:p w14:paraId="77D5A5A7" w14:textId="77777777" w:rsidR="006A696A" w:rsidRDefault="006A696A" w:rsidP="006A696A">
      <w:pPr>
        <w:pStyle w:val="Akapitzlist"/>
        <w:numPr>
          <w:ilvl w:val="0"/>
          <w:numId w:val="7"/>
        </w:numPr>
        <w:jc w:val="both"/>
        <w:rPr>
          <w:rFonts w:cs="Arial"/>
          <w:b/>
          <w:lang w:val="pl-PL"/>
        </w:rPr>
      </w:pPr>
      <w:r w:rsidRPr="00840555">
        <w:rPr>
          <w:rFonts w:cs="Arial"/>
          <w:b/>
          <w:lang w:val="pl-PL"/>
        </w:rPr>
        <w:t>Przedmiot i suma ubezpieczenia/limity odpowiedzialności/metoda wyceny:</w:t>
      </w:r>
    </w:p>
    <w:p w14:paraId="5A40F94B" w14:textId="77777777" w:rsidR="006A696A" w:rsidRPr="00840555" w:rsidRDefault="006A696A" w:rsidP="006A696A">
      <w:pPr>
        <w:pStyle w:val="Akapitzlist"/>
        <w:jc w:val="both"/>
        <w:rPr>
          <w:rFonts w:cs="Arial"/>
          <w:b/>
          <w:lang w:val="pl-PL"/>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778"/>
        <w:gridCol w:w="2371"/>
        <w:gridCol w:w="2085"/>
      </w:tblGrid>
      <w:tr w:rsidR="006A696A" w:rsidRPr="00566BD5" w14:paraId="26F3D86B" w14:textId="77777777" w:rsidTr="001B442F">
        <w:trPr>
          <w:trHeight w:val="334"/>
        </w:trPr>
        <w:tc>
          <w:tcPr>
            <w:tcW w:w="828" w:type="dxa"/>
            <w:shd w:val="clear" w:color="auto" w:fill="auto"/>
            <w:vAlign w:val="center"/>
          </w:tcPr>
          <w:p w14:paraId="09A89561" w14:textId="77777777" w:rsidR="006A696A" w:rsidRPr="00566BD5" w:rsidRDefault="006A696A" w:rsidP="001B442F">
            <w:pPr>
              <w:jc w:val="center"/>
              <w:rPr>
                <w:rFonts w:cs="Arial"/>
                <w:b/>
                <w:lang w:eastAsia="de-DE"/>
              </w:rPr>
            </w:pPr>
            <w:r w:rsidRPr="00566BD5">
              <w:rPr>
                <w:rFonts w:cs="Arial"/>
                <w:b/>
                <w:lang w:eastAsia="de-DE"/>
              </w:rPr>
              <w:t>Lp.</w:t>
            </w:r>
          </w:p>
        </w:tc>
        <w:tc>
          <w:tcPr>
            <w:tcW w:w="3778" w:type="dxa"/>
            <w:shd w:val="clear" w:color="auto" w:fill="auto"/>
            <w:vAlign w:val="center"/>
          </w:tcPr>
          <w:p w14:paraId="237769A1" w14:textId="77777777" w:rsidR="006A696A" w:rsidRPr="00566BD5" w:rsidRDefault="006A696A" w:rsidP="001B442F">
            <w:pPr>
              <w:jc w:val="center"/>
              <w:rPr>
                <w:rFonts w:cs="Arial"/>
                <w:b/>
                <w:lang w:eastAsia="de-DE"/>
              </w:rPr>
            </w:pPr>
            <w:r w:rsidRPr="00566BD5">
              <w:rPr>
                <w:rFonts w:cs="Arial"/>
                <w:b/>
                <w:lang w:eastAsia="de-DE"/>
              </w:rPr>
              <w:t>Nazwa przedmiotu zamówienia</w:t>
            </w:r>
          </w:p>
        </w:tc>
        <w:tc>
          <w:tcPr>
            <w:tcW w:w="2371" w:type="dxa"/>
            <w:vAlign w:val="center"/>
          </w:tcPr>
          <w:p w14:paraId="371C1297" w14:textId="77777777" w:rsidR="006A696A" w:rsidRPr="00566BD5" w:rsidRDefault="006A696A" w:rsidP="001B442F">
            <w:pPr>
              <w:jc w:val="center"/>
              <w:rPr>
                <w:rFonts w:cs="Arial"/>
                <w:b/>
                <w:lang w:eastAsia="de-DE"/>
              </w:rPr>
            </w:pPr>
            <w:r w:rsidRPr="00566BD5">
              <w:rPr>
                <w:rFonts w:cs="Arial"/>
                <w:b/>
                <w:lang w:eastAsia="de-DE"/>
              </w:rPr>
              <w:t>Suma ubezpieczenia</w:t>
            </w:r>
            <w:r>
              <w:rPr>
                <w:rFonts w:cs="Arial"/>
                <w:b/>
                <w:lang w:eastAsia="de-DE"/>
              </w:rPr>
              <w:t>/ Limity</w:t>
            </w:r>
            <w:r w:rsidRPr="00566BD5">
              <w:rPr>
                <w:rFonts w:cs="Arial"/>
                <w:b/>
                <w:lang w:eastAsia="de-DE"/>
              </w:rPr>
              <w:t xml:space="preserve"> </w:t>
            </w:r>
            <w:r>
              <w:rPr>
                <w:rFonts w:cs="Arial"/>
                <w:b/>
                <w:lang w:eastAsia="de-DE"/>
              </w:rPr>
              <w:t>(</w:t>
            </w:r>
            <w:r w:rsidRPr="00566BD5">
              <w:rPr>
                <w:rFonts w:cs="Arial"/>
                <w:b/>
                <w:lang w:eastAsia="de-DE"/>
              </w:rPr>
              <w:t>w zł</w:t>
            </w:r>
            <w:r>
              <w:rPr>
                <w:rFonts w:cs="Arial"/>
                <w:b/>
                <w:lang w:eastAsia="de-DE"/>
              </w:rPr>
              <w:t>)</w:t>
            </w:r>
          </w:p>
        </w:tc>
        <w:tc>
          <w:tcPr>
            <w:tcW w:w="2085" w:type="dxa"/>
          </w:tcPr>
          <w:p w14:paraId="4B02012C" w14:textId="77777777" w:rsidR="006A696A" w:rsidRPr="00566BD5" w:rsidRDefault="006A696A" w:rsidP="001B442F">
            <w:pPr>
              <w:jc w:val="center"/>
              <w:rPr>
                <w:rFonts w:cs="Arial"/>
                <w:b/>
                <w:lang w:eastAsia="de-DE"/>
              </w:rPr>
            </w:pPr>
            <w:r>
              <w:rPr>
                <w:rFonts w:cs="Arial"/>
                <w:b/>
                <w:lang w:eastAsia="de-DE"/>
              </w:rPr>
              <w:t>Metoda wyceny</w:t>
            </w:r>
          </w:p>
        </w:tc>
      </w:tr>
      <w:tr w:rsidR="006A696A" w:rsidRPr="00566BD5" w14:paraId="460E563E" w14:textId="77777777" w:rsidTr="001B442F">
        <w:trPr>
          <w:trHeight w:val="334"/>
        </w:trPr>
        <w:tc>
          <w:tcPr>
            <w:tcW w:w="828" w:type="dxa"/>
            <w:shd w:val="clear" w:color="auto" w:fill="auto"/>
            <w:vAlign w:val="center"/>
          </w:tcPr>
          <w:p w14:paraId="253F78B8" w14:textId="566C43DA" w:rsidR="006A696A" w:rsidRPr="00566BD5" w:rsidRDefault="008C2D12" w:rsidP="001B442F">
            <w:pPr>
              <w:jc w:val="center"/>
              <w:rPr>
                <w:rFonts w:cs="Arial"/>
                <w:b/>
                <w:lang w:eastAsia="de-DE"/>
              </w:rPr>
            </w:pPr>
            <w:r>
              <w:rPr>
                <w:rFonts w:cs="Arial"/>
                <w:b/>
                <w:lang w:eastAsia="de-DE"/>
              </w:rPr>
              <w:t>1</w:t>
            </w:r>
          </w:p>
        </w:tc>
        <w:tc>
          <w:tcPr>
            <w:tcW w:w="3778" w:type="dxa"/>
            <w:shd w:val="clear" w:color="auto" w:fill="auto"/>
            <w:vAlign w:val="center"/>
          </w:tcPr>
          <w:p w14:paraId="0F06DF72" w14:textId="53B4B24C" w:rsidR="006A696A" w:rsidRPr="009F45A2" w:rsidRDefault="006A696A" w:rsidP="001B442F">
            <w:pPr>
              <w:jc w:val="center"/>
              <w:rPr>
                <w:rFonts w:cs="Arial"/>
                <w:lang w:eastAsia="de-DE"/>
              </w:rPr>
            </w:pPr>
            <w:r>
              <w:rPr>
                <w:rFonts w:cs="Arial"/>
                <w:lang w:eastAsia="de-DE"/>
              </w:rPr>
              <w:t>Sprzęt elektroniczny</w:t>
            </w:r>
            <w:r w:rsidR="005D6CA0">
              <w:rPr>
                <w:rFonts w:cs="Arial"/>
                <w:lang w:eastAsia="de-DE"/>
              </w:rPr>
              <w:t xml:space="preserve"> </w:t>
            </w:r>
            <w:r w:rsidR="008C2D12">
              <w:rPr>
                <w:rFonts w:cs="Arial"/>
                <w:lang w:eastAsia="de-DE"/>
              </w:rPr>
              <w:br/>
              <w:t>stacjonarny i przenośny</w:t>
            </w:r>
            <w:r w:rsidR="005D6CA0">
              <w:rPr>
                <w:rFonts w:cs="Arial"/>
                <w:lang w:eastAsia="de-DE"/>
              </w:rPr>
              <w:t>, w tym sprzęt medyczny</w:t>
            </w:r>
          </w:p>
        </w:tc>
        <w:tc>
          <w:tcPr>
            <w:tcW w:w="2371" w:type="dxa"/>
            <w:vAlign w:val="center"/>
          </w:tcPr>
          <w:p w14:paraId="15B6DF86" w14:textId="3F88C313" w:rsidR="006A696A" w:rsidRPr="009F45A2" w:rsidRDefault="008C2D12" w:rsidP="001B442F">
            <w:pPr>
              <w:jc w:val="center"/>
              <w:rPr>
                <w:rFonts w:eastAsia="Arial Unicode MS" w:cs="Arial"/>
                <w:bCs/>
                <w:lang w:eastAsia="de-DE"/>
              </w:rPr>
            </w:pPr>
            <w:r>
              <w:rPr>
                <w:rFonts w:eastAsia="Arial Unicode MS" w:cs="Arial"/>
                <w:bCs/>
                <w:lang w:eastAsia="de-DE"/>
              </w:rPr>
              <w:t>19.155.303,25</w:t>
            </w:r>
          </w:p>
        </w:tc>
        <w:tc>
          <w:tcPr>
            <w:tcW w:w="2085" w:type="dxa"/>
          </w:tcPr>
          <w:p w14:paraId="23A9D99E" w14:textId="77777777" w:rsidR="006A696A" w:rsidRPr="009F45A2" w:rsidRDefault="006A696A" w:rsidP="001B442F">
            <w:pPr>
              <w:jc w:val="center"/>
              <w:rPr>
                <w:rFonts w:cs="Arial"/>
                <w:lang w:eastAsia="de-DE"/>
              </w:rPr>
            </w:pPr>
            <w:r w:rsidRPr="009F45A2">
              <w:rPr>
                <w:rFonts w:cs="Arial"/>
                <w:lang w:eastAsia="de-DE"/>
              </w:rPr>
              <w:t>odtworzeniowa</w:t>
            </w:r>
          </w:p>
        </w:tc>
      </w:tr>
      <w:tr w:rsidR="006A696A" w:rsidRPr="00566BD5" w14:paraId="52E53CF6" w14:textId="77777777" w:rsidTr="001B442F">
        <w:trPr>
          <w:trHeight w:val="334"/>
        </w:trPr>
        <w:tc>
          <w:tcPr>
            <w:tcW w:w="828" w:type="dxa"/>
            <w:shd w:val="clear" w:color="auto" w:fill="auto"/>
            <w:vAlign w:val="center"/>
          </w:tcPr>
          <w:p w14:paraId="2F0F6C2E" w14:textId="0311E855" w:rsidR="006A696A" w:rsidRPr="00566BD5" w:rsidRDefault="008C2D12" w:rsidP="001B442F">
            <w:pPr>
              <w:jc w:val="center"/>
              <w:rPr>
                <w:rFonts w:cs="Arial"/>
                <w:b/>
                <w:lang w:eastAsia="de-DE"/>
              </w:rPr>
            </w:pPr>
            <w:r>
              <w:rPr>
                <w:rFonts w:cs="Arial"/>
                <w:b/>
                <w:lang w:eastAsia="de-DE"/>
              </w:rPr>
              <w:t>2</w:t>
            </w:r>
          </w:p>
        </w:tc>
        <w:tc>
          <w:tcPr>
            <w:tcW w:w="3778" w:type="dxa"/>
            <w:shd w:val="clear" w:color="auto" w:fill="auto"/>
            <w:vAlign w:val="center"/>
          </w:tcPr>
          <w:p w14:paraId="7DB5EA83" w14:textId="77777777" w:rsidR="006A696A" w:rsidRPr="009F45A2" w:rsidRDefault="006A696A" w:rsidP="001B442F">
            <w:pPr>
              <w:jc w:val="center"/>
              <w:rPr>
                <w:rFonts w:cs="Arial"/>
                <w:lang w:eastAsia="de-DE"/>
              </w:rPr>
            </w:pPr>
            <w:r w:rsidRPr="009F45A2">
              <w:rPr>
                <w:rFonts w:cs="Arial"/>
                <w:lang w:eastAsia="de-DE"/>
              </w:rPr>
              <w:t>Wyposażenie karetek</w:t>
            </w:r>
            <w:r>
              <w:rPr>
                <w:rFonts w:cs="Arial"/>
                <w:lang w:eastAsia="de-DE"/>
              </w:rPr>
              <w:t xml:space="preserve"> (sprzęt elektroniczny/medyczny przenośny)</w:t>
            </w:r>
          </w:p>
        </w:tc>
        <w:tc>
          <w:tcPr>
            <w:tcW w:w="2371" w:type="dxa"/>
            <w:vAlign w:val="center"/>
          </w:tcPr>
          <w:p w14:paraId="46F2A092" w14:textId="443AB20A" w:rsidR="006A696A" w:rsidRPr="009F45A2" w:rsidRDefault="008C2D12" w:rsidP="001B442F">
            <w:pPr>
              <w:jc w:val="center"/>
              <w:rPr>
                <w:rFonts w:eastAsia="Arial Unicode MS" w:cs="Arial"/>
                <w:bCs/>
                <w:lang w:eastAsia="de-DE"/>
              </w:rPr>
            </w:pPr>
            <w:r>
              <w:rPr>
                <w:rFonts w:eastAsia="Arial Unicode MS" w:cs="Arial"/>
                <w:bCs/>
                <w:lang w:eastAsia="de-DE"/>
              </w:rPr>
              <w:t>1.406.741,15</w:t>
            </w:r>
          </w:p>
        </w:tc>
        <w:tc>
          <w:tcPr>
            <w:tcW w:w="2085" w:type="dxa"/>
          </w:tcPr>
          <w:p w14:paraId="6506D9FA" w14:textId="77777777" w:rsidR="006A696A" w:rsidRPr="009F45A2" w:rsidRDefault="006A696A" w:rsidP="001B442F">
            <w:pPr>
              <w:jc w:val="center"/>
            </w:pPr>
            <w:r w:rsidRPr="009F45A2">
              <w:rPr>
                <w:rFonts w:cs="Arial"/>
                <w:lang w:eastAsia="de-DE"/>
              </w:rPr>
              <w:t>odtworzeniowa</w:t>
            </w:r>
          </w:p>
        </w:tc>
      </w:tr>
      <w:tr w:rsidR="006A696A" w:rsidRPr="00566BD5" w14:paraId="5944164F" w14:textId="77777777" w:rsidTr="001B442F">
        <w:trPr>
          <w:trHeight w:val="323"/>
        </w:trPr>
        <w:tc>
          <w:tcPr>
            <w:tcW w:w="828" w:type="dxa"/>
            <w:shd w:val="clear" w:color="auto" w:fill="auto"/>
            <w:vAlign w:val="center"/>
          </w:tcPr>
          <w:p w14:paraId="3F608DD9" w14:textId="7271F6B0" w:rsidR="006A696A" w:rsidRPr="00566BD5" w:rsidRDefault="008C2D12" w:rsidP="001B442F">
            <w:pPr>
              <w:jc w:val="center"/>
              <w:rPr>
                <w:rFonts w:cs="Arial"/>
                <w:b/>
                <w:lang w:eastAsia="de-DE"/>
              </w:rPr>
            </w:pPr>
            <w:r>
              <w:rPr>
                <w:rFonts w:cs="Arial"/>
                <w:b/>
                <w:lang w:eastAsia="de-DE"/>
              </w:rPr>
              <w:t>3</w:t>
            </w:r>
          </w:p>
        </w:tc>
        <w:tc>
          <w:tcPr>
            <w:tcW w:w="3778" w:type="dxa"/>
            <w:shd w:val="clear" w:color="auto" w:fill="auto"/>
            <w:vAlign w:val="center"/>
          </w:tcPr>
          <w:p w14:paraId="762E878F" w14:textId="77777777" w:rsidR="006A696A" w:rsidRPr="009F45A2" w:rsidRDefault="006A696A" w:rsidP="001B442F">
            <w:pPr>
              <w:jc w:val="center"/>
              <w:rPr>
                <w:rFonts w:cs="Arial"/>
                <w:lang w:eastAsia="de-DE"/>
              </w:rPr>
            </w:pPr>
            <w:r w:rsidRPr="009F45A2">
              <w:rPr>
                <w:rFonts w:cs="Arial"/>
                <w:lang w:eastAsia="de-DE"/>
              </w:rPr>
              <w:t>Koszty odtworzenia danych/systemu informatycznego</w:t>
            </w:r>
          </w:p>
        </w:tc>
        <w:tc>
          <w:tcPr>
            <w:tcW w:w="2371" w:type="dxa"/>
            <w:vAlign w:val="center"/>
          </w:tcPr>
          <w:p w14:paraId="72136EF5" w14:textId="77777777" w:rsidR="006A696A" w:rsidRPr="009F45A2" w:rsidRDefault="006A696A" w:rsidP="001B442F">
            <w:pPr>
              <w:jc w:val="center"/>
              <w:rPr>
                <w:rFonts w:eastAsia="Arial Unicode MS" w:cs="Arial"/>
                <w:bCs/>
                <w:lang w:eastAsia="de-DE"/>
              </w:rPr>
            </w:pPr>
            <w:r w:rsidRPr="009F45A2">
              <w:rPr>
                <w:rFonts w:eastAsia="Arial Unicode MS" w:cs="Arial"/>
                <w:bCs/>
                <w:lang w:eastAsia="de-DE"/>
              </w:rPr>
              <w:t>100.000,00</w:t>
            </w:r>
          </w:p>
        </w:tc>
        <w:tc>
          <w:tcPr>
            <w:tcW w:w="2085" w:type="dxa"/>
          </w:tcPr>
          <w:p w14:paraId="6E94B080" w14:textId="77777777" w:rsidR="006A696A" w:rsidRPr="009F45A2" w:rsidRDefault="006A696A" w:rsidP="001B442F">
            <w:r w:rsidRPr="009F45A2">
              <w:rPr>
                <w:rFonts w:eastAsia="Arial Unicode MS" w:cs="Arial"/>
                <w:bCs/>
                <w:lang w:eastAsia="de-DE"/>
              </w:rPr>
              <w:t>Na pierwsze ryzyko</w:t>
            </w:r>
          </w:p>
        </w:tc>
      </w:tr>
    </w:tbl>
    <w:p w14:paraId="2418BFA0" w14:textId="77777777" w:rsidR="006A696A" w:rsidRDefault="006A696A" w:rsidP="006A696A">
      <w:pPr>
        <w:spacing w:line="276" w:lineRule="auto"/>
        <w:jc w:val="both"/>
        <w:rPr>
          <w:rFonts w:cs="Arial"/>
        </w:rPr>
      </w:pPr>
    </w:p>
    <w:p w14:paraId="07BDC84D" w14:textId="77777777" w:rsidR="006A696A" w:rsidRPr="0081083D" w:rsidRDefault="006A696A" w:rsidP="006A696A">
      <w:pPr>
        <w:pStyle w:val="Akapitzlist"/>
        <w:numPr>
          <w:ilvl w:val="0"/>
          <w:numId w:val="7"/>
        </w:numPr>
        <w:spacing w:after="160" w:line="276" w:lineRule="auto"/>
        <w:jc w:val="both"/>
        <w:rPr>
          <w:rFonts w:cs="Arial"/>
          <w:b/>
        </w:rPr>
      </w:pPr>
      <w:proofErr w:type="spellStart"/>
      <w:r w:rsidRPr="0081083D">
        <w:rPr>
          <w:rFonts w:cs="Arial"/>
          <w:b/>
        </w:rPr>
        <w:t>Franszyza</w:t>
      </w:r>
      <w:proofErr w:type="spellEnd"/>
      <w:r w:rsidRPr="0081083D">
        <w:rPr>
          <w:rFonts w:cs="Arial"/>
          <w:b/>
        </w:rPr>
        <w:t xml:space="preserve"> </w:t>
      </w:r>
      <w:proofErr w:type="spellStart"/>
      <w:r w:rsidRPr="0081083D">
        <w:rPr>
          <w:rFonts w:cs="Arial"/>
          <w:b/>
        </w:rPr>
        <w:t>integralna</w:t>
      </w:r>
      <w:proofErr w:type="spellEnd"/>
    </w:p>
    <w:p w14:paraId="16B9E287" w14:textId="77777777" w:rsidR="006A696A" w:rsidRPr="0081083D" w:rsidRDefault="006A696A" w:rsidP="006A696A">
      <w:pPr>
        <w:spacing w:line="276" w:lineRule="auto"/>
        <w:jc w:val="both"/>
        <w:rPr>
          <w:rFonts w:cs="Arial"/>
        </w:rPr>
      </w:pPr>
      <w:r w:rsidRPr="0081083D">
        <w:rPr>
          <w:rFonts w:cs="Arial"/>
        </w:rPr>
        <w:t>Brak.</w:t>
      </w:r>
    </w:p>
    <w:p w14:paraId="0F42796F" w14:textId="77777777" w:rsidR="006A696A" w:rsidRPr="0081083D" w:rsidRDefault="006A696A" w:rsidP="006A696A">
      <w:pPr>
        <w:pStyle w:val="Akapitzlist"/>
        <w:numPr>
          <w:ilvl w:val="0"/>
          <w:numId w:val="7"/>
        </w:numPr>
        <w:spacing w:after="160" w:line="276" w:lineRule="auto"/>
        <w:jc w:val="both"/>
        <w:rPr>
          <w:rFonts w:cs="Arial"/>
          <w:b/>
        </w:rPr>
      </w:pPr>
      <w:proofErr w:type="spellStart"/>
      <w:r w:rsidRPr="0081083D">
        <w:rPr>
          <w:rFonts w:cs="Arial"/>
          <w:b/>
        </w:rPr>
        <w:t>Franszyza</w:t>
      </w:r>
      <w:proofErr w:type="spellEnd"/>
      <w:r w:rsidRPr="0081083D">
        <w:rPr>
          <w:rFonts w:cs="Arial"/>
          <w:b/>
        </w:rPr>
        <w:t xml:space="preserve"> </w:t>
      </w:r>
      <w:proofErr w:type="spellStart"/>
      <w:r w:rsidRPr="0081083D">
        <w:rPr>
          <w:rFonts w:cs="Arial"/>
          <w:b/>
        </w:rPr>
        <w:t>redukcyjna</w:t>
      </w:r>
      <w:proofErr w:type="spellEnd"/>
      <w:r w:rsidRPr="0081083D">
        <w:rPr>
          <w:rFonts w:cs="Arial"/>
          <w:b/>
        </w:rPr>
        <w:t>/</w:t>
      </w:r>
      <w:proofErr w:type="spellStart"/>
      <w:r w:rsidRPr="0081083D">
        <w:rPr>
          <w:rFonts w:cs="Arial"/>
          <w:b/>
        </w:rPr>
        <w:t>udział</w:t>
      </w:r>
      <w:proofErr w:type="spellEnd"/>
      <w:r w:rsidRPr="0081083D">
        <w:rPr>
          <w:rFonts w:cs="Arial"/>
          <w:b/>
        </w:rPr>
        <w:t xml:space="preserve"> </w:t>
      </w:r>
      <w:proofErr w:type="spellStart"/>
      <w:r w:rsidRPr="0081083D">
        <w:rPr>
          <w:rFonts w:cs="Arial"/>
          <w:b/>
        </w:rPr>
        <w:t>własny</w:t>
      </w:r>
      <w:proofErr w:type="spellEnd"/>
    </w:p>
    <w:p w14:paraId="04395718" w14:textId="77777777" w:rsidR="006A696A" w:rsidRPr="0081083D" w:rsidRDefault="006A696A" w:rsidP="006A696A">
      <w:pPr>
        <w:spacing w:after="0" w:line="240" w:lineRule="auto"/>
        <w:jc w:val="both"/>
        <w:rPr>
          <w:rFonts w:cs="Arial"/>
        </w:rPr>
      </w:pPr>
      <w:r w:rsidRPr="0081083D">
        <w:rPr>
          <w:rFonts w:cs="Arial"/>
        </w:rPr>
        <w:t>500 zł – szkody w wyniku k</w:t>
      </w:r>
      <w:r>
        <w:rPr>
          <w:rFonts w:cs="Arial"/>
        </w:rPr>
        <w:t>radzieży z włamaniem i rabunku</w:t>
      </w:r>
    </w:p>
    <w:p w14:paraId="26CED6F0" w14:textId="77777777" w:rsidR="006A696A" w:rsidRPr="0081083D" w:rsidRDefault="006A696A" w:rsidP="006A696A">
      <w:pPr>
        <w:spacing w:after="0" w:line="240" w:lineRule="auto"/>
        <w:jc w:val="both"/>
        <w:rPr>
          <w:rFonts w:cs="Arial"/>
        </w:rPr>
      </w:pPr>
      <w:r w:rsidRPr="0081083D">
        <w:rPr>
          <w:rFonts w:cs="Arial"/>
        </w:rPr>
        <w:t>1 000 zł – pozostałe szkody (nie dotyczy telefonów komórkowych)</w:t>
      </w:r>
    </w:p>
    <w:p w14:paraId="681876E6" w14:textId="77777777" w:rsidR="006A696A" w:rsidRPr="0081083D" w:rsidRDefault="006A696A" w:rsidP="006A696A">
      <w:pPr>
        <w:spacing w:line="276" w:lineRule="auto"/>
        <w:jc w:val="both"/>
        <w:rPr>
          <w:rFonts w:cs="Arial"/>
        </w:rPr>
      </w:pPr>
    </w:p>
    <w:p w14:paraId="0D963ADC" w14:textId="77777777" w:rsidR="006A696A" w:rsidRPr="00840555" w:rsidRDefault="006A696A" w:rsidP="006A696A">
      <w:pPr>
        <w:pStyle w:val="Akapitzlist"/>
        <w:numPr>
          <w:ilvl w:val="0"/>
          <w:numId w:val="7"/>
        </w:numPr>
        <w:spacing w:after="160" w:line="276" w:lineRule="auto"/>
        <w:jc w:val="both"/>
        <w:rPr>
          <w:rFonts w:cs="Arial"/>
          <w:b/>
          <w:lang w:val="pl-PL"/>
        </w:rPr>
      </w:pPr>
      <w:r w:rsidRPr="00840555">
        <w:rPr>
          <w:rFonts w:cs="Arial"/>
          <w:b/>
          <w:lang w:val="pl-PL"/>
        </w:rPr>
        <w:t>Tymczasowe magazynowanie i ochrona od daty dostawy, telefony komórkowe</w:t>
      </w:r>
    </w:p>
    <w:p w14:paraId="575CD393" w14:textId="77777777" w:rsidR="006A696A" w:rsidRPr="0081083D" w:rsidRDefault="006A696A" w:rsidP="006A696A">
      <w:pPr>
        <w:spacing w:after="0" w:line="240" w:lineRule="auto"/>
      </w:pPr>
      <w:r w:rsidRPr="0081083D">
        <w:t>Ochronę ubezpieczeniową rozszerza się na:</w:t>
      </w:r>
    </w:p>
    <w:p w14:paraId="1F2D9D73" w14:textId="77777777" w:rsidR="006A696A" w:rsidRPr="00840555" w:rsidRDefault="006A696A" w:rsidP="006A696A">
      <w:pPr>
        <w:pStyle w:val="Akapitzlist"/>
        <w:numPr>
          <w:ilvl w:val="0"/>
          <w:numId w:val="12"/>
        </w:numPr>
        <w:ind w:left="714" w:hanging="357"/>
        <w:contextualSpacing w:val="0"/>
        <w:rPr>
          <w:lang w:val="pl-PL"/>
        </w:rPr>
      </w:pPr>
      <w:r w:rsidRPr="00840555">
        <w:rPr>
          <w:lang w:val="pl-PL"/>
        </w:rPr>
        <w:t>ubezpieczone mienie tymczasowo magazynowane lub okresowo wyłączone z użytkowania,</w:t>
      </w:r>
    </w:p>
    <w:p w14:paraId="33FDFF99" w14:textId="77777777" w:rsidR="006A696A" w:rsidRPr="00840555" w:rsidRDefault="006A696A" w:rsidP="006A696A">
      <w:pPr>
        <w:pStyle w:val="Akapitzlist"/>
        <w:numPr>
          <w:ilvl w:val="0"/>
          <w:numId w:val="12"/>
        </w:numPr>
        <w:ind w:left="714" w:hanging="357"/>
        <w:contextualSpacing w:val="0"/>
        <w:rPr>
          <w:lang w:val="pl-PL"/>
        </w:rPr>
      </w:pPr>
      <w:r w:rsidRPr="00840555">
        <w:rPr>
          <w:lang w:val="pl-PL"/>
        </w:rPr>
        <w:t>ubezpieczone mienie na czas od daty dostawy do daty włączenia do eksploatacji,</w:t>
      </w:r>
    </w:p>
    <w:p w14:paraId="32435A9D" w14:textId="77777777" w:rsidR="006A696A" w:rsidRPr="0003248E" w:rsidRDefault="006A696A" w:rsidP="006A696A">
      <w:pPr>
        <w:pStyle w:val="Akapitzlist"/>
        <w:numPr>
          <w:ilvl w:val="0"/>
          <w:numId w:val="12"/>
        </w:numPr>
        <w:ind w:left="714" w:hanging="357"/>
        <w:contextualSpacing w:val="0"/>
      </w:pPr>
      <w:proofErr w:type="spellStart"/>
      <w:r w:rsidRPr="0081083D">
        <w:lastRenderedPageBreak/>
        <w:t>telefony</w:t>
      </w:r>
      <w:proofErr w:type="spellEnd"/>
      <w:r w:rsidRPr="0081083D">
        <w:t xml:space="preserve"> </w:t>
      </w:r>
      <w:proofErr w:type="spellStart"/>
      <w:r w:rsidRPr="0081083D">
        <w:t>komórkowe</w:t>
      </w:r>
      <w:proofErr w:type="spellEnd"/>
      <w:r w:rsidRPr="0081083D">
        <w:t>.</w:t>
      </w:r>
    </w:p>
    <w:p w14:paraId="5CF7FE31" w14:textId="77777777" w:rsidR="006A696A" w:rsidRPr="0081083D" w:rsidRDefault="006A696A" w:rsidP="006A696A">
      <w:pPr>
        <w:spacing w:line="276" w:lineRule="auto"/>
        <w:jc w:val="both"/>
        <w:rPr>
          <w:rFonts w:cs="Arial"/>
        </w:rPr>
      </w:pPr>
    </w:p>
    <w:p w14:paraId="30DF90BE" w14:textId="77777777" w:rsidR="006A696A" w:rsidRPr="001179C9" w:rsidRDefault="006A696A" w:rsidP="006A696A">
      <w:pPr>
        <w:pStyle w:val="Akapitzlist"/>
        <w:numPr>
          <w:ilvl w:val="0"/>
          <w:numId w:val="7"/>
        </w:numPr>
        <w:spacing w:after="160" w:line="276" w:lineRule="auto"/>
        <w:jc w:val="both"/>
        <w:rPr>
          <w:b/>
          <w:lang w:val="pl-PL"/>
        </w:rPr>
      </w:pPr>
      <w:r w:rsidRPr="00CB439C">
        <w:rPr>
          <w:b/>
          <w:lang w:val="pl-PL"/>
        </w:rPr>
        <w:t>Klauzule dodatkowe (w</w:t>
      </w:r>
      <w:r>
        <w:rPr>
          <w:b/>
          <w:lang w:val="pl-PL"/>
        </w:rPr>
        <w:t>szystkie wymienione w C</w:t>
      </w:r>
      <w:r w:rsidRPr="00CB439C">
        <w:rPr>
          <w:b/>
          <w:lang w:val="pl-PL"/>
        </w:rPr>
        <w:t>zęści A</w:t>
      </w:r>
      <w:r>
        <w:rPr>
          <w:b/>
          <w:lang w:val="pl-PL"/>
        </w:rPr>
        <w:t>, o ile mają zastosowanie do ubezpieczenia sprzętu elektronicznego, z dodatkiem poniższych):</w:t>
      </w:r>
    </w:p>
    <w:p w14:paraId="0BC094EE" w14:textId="77777777" w:rsidR="006A696A" w:rsidRPr="007B23CE" w:rsidRDefault="006A696A" w:rsidP="006A696A">
      <w:pPr>
        <w:tabs>
          <w:tab w:val="left" w:pos="0"/>
          <w:tab w:val="left" w:pos="142"/>
        </w:tabs>
        <w:spacing w:after="200"/>
        <w:jc w:val="both"/>
        <w:rPr>
          <w:rFonts w:cs="Tahoma"/>
          <w:b/>
          <w:bCs/>
          <w:szCs w:val="18"/>
        </w:rPr>
      </w:pPr>
      <w:r>
        <w:rPr>
          <w:rFonts w:cs="Tahoma"/>
          <w:b/>
          <w:bCs/>
          <w:szCs w:val="18"/>
        </w:rPr>
        <w:t xml:space="preserve">(1) </w:t>
      </w:r>
      <w:r w:rsidRPr="000F2AFF">
        <w:rPr>
          <w:rFonts w:cs="Tahoma"/>
          <w:b/>
          <w:bCs/>
          <w:szCs w:val="18"/>
        </w:rPr>
        <w:t>Klauzula 104</w:t>
      </w:r>
      <w:r>
        <w:rPr>
          <w:rFonts w:cs="Tahoma"/>
          <w:bCs/>
          <w:szCs w:val="18"/>
        </w:rPr>
        <w:t xml:space="preserve"> - </w:t>
      </w:r>
      <w:r w:rsidRPr="005E08BD">
        <w:rPr>
          <w:rFonts w:cs="Tahoma"/>
          <w:b/>
          <w:bCs/>
          <w:szCs w:val="18"/>
        </w:rPr>
        <w:t>Tymczasowe magazynowanie lub chwilowa przerwa w eksploatacji sprzętu</w:t>
      </w:r>
      <w:r>
        <w:rPr>
          <w:rFonts w:cs="Tahoma"/>
          <w:b/>
          <w:bCs/>
          <w:szCs w:val="18"/>
        </w:rPr>
        <w:br/>
      </w:r>
      <w:r w:rsidRPr="000F2AFF">
        <w:rPr>
          <w:rFonts w:cs="Tahoma"/>
          <w:bCs/>
          <w:szCs w:val="18"/>
        </w:rPr>
        <w:t xml:space="preserve">Ubezpieczyciel rozszerza zakres ochrony ubezpieczeniowej i przyjmuje odpowiedzialność za szkody </w:t>
      </w:r>
      <w:r>
        <w:rPr>
          <w:rFonts w:cs="Tahoma"/>
          <w:bCs/>
          <w:szCs w:val="18"/>
        </w:rPr>
        <w:br/>
      </w:r>
      <w:r w:rsidRPr="000F2AFF">
        <w:rPr>
          <w:rFonts w:cs="Tahoma"/>
          <w:bCs/>
          <w:szCs w:val="18"/>
        </w:rPr>
        <w:t xml:space="preserve">z tytułu utraty lub uszkodzenia  sprzętu  elektronicznego,  który  wcześniej  sprawny technicznie </w:t>
      </w:r>
      <w:r>
        <w:rPr>
          <w:rFonts w:cs="Tahoma"/>
          <w:bCs/>
          <w:szCs w:val="18"/>
        </w:rPr>
        <w:br/>
      </w:r>
      <w:r w:rsidRPr="000F2AFF">
        <w:rPr>
          <w:rFonts w:cs="Tahoma"/>
          <w:bCs/>
          <w:szCs w:val="18"/>
        </w:rPr>
        <w:t xml:space="preserve">i eksploatowany pozostaje chwilowo nie użytkowany lub tymczasowo magazynowany w miejscu ubezpieczenia wskazanym w polisie. Przez termin „tymczasowo” rozumie się okres nie przekraczający 6 miesięcy. </w:t>
      </w:r>
      <w:r>
        <w:rPr>
          <w:rFonts w:cs="Tahoma"/>
          <w:bCs/>
          <w:szCs w:val="18"/>
        </w:rPr>
        <w:t xml:space="preserve"> </w:t>
      </w:r>
    </w:p>
    <w:p w14:paraId="761E2202" w14:textId="77777777" w:rsidR="006A696A" w:rsidRPr="00214186" w:rsidRDefault="006A696A" w:rsidP="006A696A">
      <w:pPr>
        <w:spacing w:after="0" w:line="240" w:lineRule="auto"/>
        <w:jc w:val="both"/>
        <w:rPr>
          <w:rFonts w:ascii="Tahoma" w:hAnsi="Tahoma" w:cs="Tahoma"/>
          <w:b/>
          <w:color w:val="000000"/>
          <w:sz w:val="18"/>
          <w:szCs w:val="18"/>
        </w:rPr>
      </w:pPr>
      <w:r>
        <w:rPr>
          <w:rFonts w:ascii="Tahoma" w:hAnsi="Tahoma" w:cs="Tahoma"/>
          <w:b/>
          <w:color w:val="000000"/>
          <w:sz w:val="18"/>
          <w:szCs w:val="18"/>
        </w:rPr>
        <w:t xml:space="preserve">(2) </w:t>
      </w:r>
      <w:r w:rsidRPr="001A0931">
        <w:rPr>
          <w:rFonts w:ascii="Tahoma" w:hAnsi="Tahoma" w:cs="Tahoma"/>
          <w:b/>
          <w:color w:val="000000"/>
          <w:sz w:val="18"/>
          <w:szCs w:val="18"/>
        </w:rPr>
        <w:t>Klauzula 147</w:t>
      </w:r>
      <w:r w:rsidRPr="00214186">
        <w:rPr>
          <w:rFonts w:ascii="Tahoma" w:hAnsi="Tahoma" w:cs="Tahoma"/>
          <w:b/>
          <w:color w:val="000000"/>
          <w:sz w:val="18"/>
          <w:szCs w:val="18"/>
        </w:rPr>
        <w:t xml:space="preserve"> - Ubezpieczenie sprzętu/części od szkód material</w:t>
      </w:r>
      <w:r>
        <w:rPr>
          <w:rFonts w:ascii="Tahoma" w:hAnsi="Tahoma" w:cs="Tahoma"/>
          <w:b/>
          <w:color w:val="000000"/>
          <w:sz w:val="18"/>
          <w:szCs w:val="18"/>
        </w:rPr>
        <w:t xml:space="preserve">nych na czas od daty dostawy </w:t>
      </w:r>
      <w:r>
        <w:rPr>
          <w:rFonts w:ascii="Tahoma" w:hAnsi="Tahoma" w:cs="Tahoma"/>
          <w:b/>
          <w:color w:val="000000"/>
          <w:sz w:val="18"/>
          <w:szCs w:val="18"/>
        </w:rPr>
        <w:br/>
        <w:t xml:space="preserve">do </w:t>
      </w:r>
      <w:r w:rsidRPr="00214186">
        <w:rPr>
          <w:rFonts w:ascii="Tahoma" w:hAnsi="Tahoma" w:cs="Tahoma"/>
          <w:b/>
          <w:color w:val="000000"/>
          <w:sz w:val="18"/>
          <w:szCs w:val="18"/>
        </w:rPr>
        <w:t>daty włączenia do eksploatacji</w:t>
      </w:r>
      <w:r>
        <w:rPr>
          <w:rFonts w:ascii="Tahoma" w:hAnsi="Tahoma" w:cs="Tahoma"/>
          <w:b/>
          <w:color w:val="000000"/>
          <w:sz w:val="18"/>
          <w:szCs w:val="18"/>
        </w:rPr>
        <w:t xml:space="preserve"> </w:t>
      </w:r>
    </w:p>
    <w:p w14:paraId="7D0BA5BA" w14:textId="77777777" w:rsidR="006A696A" w:rsidRDefault="006A696A" w:rsidP="006A696A">
      <w:pPr>
        <w:pStyle w:val="Tekstpodstawowy"/>
        <w:spacing w:after="0" w:line="240" w:lineRule="auto"/>
        <w:jc w:val="both"/>
        <w:rPr>
          <w:rFonts w:ascii="Calibri" w:hAnsi="Calibri" w:cs="Tahoma"/>
          <w:sz w:val="22"/>
        </w:rPr>
      </w:pPr>
      <w:r w:rsidRPr="00693F3C">
        <w:rPr>
          <w:rFonts w:ascii="Calibri" w:hAnsi="Calibri" w:cs="Tahoma"/>
          <w:sz w:val="22"/>
        </w:rPr>
        <w:t>Ubezpieczyciel rozszerza zakres ochrony ubezpieczeniowej i przyjmuje odpowiedzialność za szkody materialne powstałe w sprzęcie elektronicznym/częściach</w:t>
      </w:r>
      <w:r>
        <w:rPr>
          <w:rFonts w:ascii="Calibri" w:hAnsi="Calibri" w:cs="Tahoma"/>
          <w:sz w:val="22"/>
        </w:rPr>
        <w:t>,</w:t>
      </w:r>
      <w:r w:rsidRPr="00693F3C">
        <w:rPr>
          <w:rFonts w:ascii="Calibri" w:hAnsi="Calibri" w:cs="Tahoma"/>
          <w:sz w:val="22"/>
        </w:rPr>
        <w:t xml:space="preserve"> od daty dostawy do planowanej daty włączenia do eksploatacji pod warunkiem, że:</w:t>
      </w:r>
    </w:p>
    <w:p w14:paraId="42E1CC47" w14:textId="77777777" w:rsidR="006A696A" w:rsidRPr="00693F3C" w:rsidRDefault="006A696A" w:rsidP="006A696A">
      <w:pPr>
        <w:pStyle w:val="Tekstpodstawowy"/>
        <w:spacing w:after="0" w:line="240" w:lineRule="auto"/>
        <w:jc w:val="both"/>
        <w:rPr>
          <w:rFonts w:ascii="Calibri" w:hAnsi="Calibri" w:cs="Tahoma"/>
          <w:sz w:val="22"/>
        </w:rPr>
      </w:pPr>
      <w:r>
        <w:rPr>
          <w:rFonts w:ascii="Calibri" w:hAnsi="Calibri" w:cs="Tahoma"/>
          <w:sz w:val="22"/>
        </w:rPr>
        <w:t xml:space="preserve">a) </w:t>
      </w:r>
      <w:r w:rsidRPr="00693F3C">
        <w:rPr>
          <w:rFonts w:ascii="Calibri" w:hAnsi="Calibri" w:cs="Tahoma"/>
          <w:sz w:val="22"/>
        </w:rPr>
        <w:t>sprzęt elektroniczny/części są magazynowane w oryginalnych opakowaniach i pomieszczeniach do tego przystosowanych,</w:t>
      </w:r>
    </w:p>
    <w:p w14:paraId="6B66956F" w14:textId="77777777" w:rsidR="006A696A" w:rsidRDefault="006A696A" w:rsidP="006A696A">
      <w:pPr>
        <w:pStyle w:val="Tekstpodstawowy"/>
        <w:widowControl w:val="0"/>
        <w:spacing w:after="0" w:line="240" w:lineRule="auto"/>
        <w:jc w:val="both"/>
        <w:rPr>
          <w:rFonts w:ascii="Calibri" w:hAnsi="Calibri" w:cs="Tahoma"/>
          <w:sz w:val="22"/>
        </w:rPr>
      </w:pPr>
      <w:r>
        <w:rPr>
          <w:rFonts w:ascii="Calibri" w:hAnsi="Calibri" w:cs="Tahoma"/>
          <w:sz w:val="22"/>
        </w:rPr>
        <w:t xml:space="preserve">b) </w:t>
      </w:r>
      <w:r w:rsidRPr="00693F3C">
        <w:rPr>
          <w:rFonts w:ascii="Calibri" w:hAnsi="Calibri" w:cs="Tahoma"/>
          <w:sz w:val="22"/>
        </w:rPr>
        <w:t>termin magazynowania i montażu nie przekracza 6-ciu m</w:t>
      </w:r>
      <w:r>
        <w:rPr>
          <w:rFonts w:ascii="Calibri" w:hAnsi="Calibri" w:cs="Tahoma"/>
          <w:sz w:val="22"/>
        </w:rPr>
        <w:t>iesię</w:t>
      </w:r>
      <w:r w:rsidRPr="00693F3C">
        <w:rPr>
          <w:rFonts w:ascii="Calibri" w:hAnsi="Calibri" w:cs="Tahoma"/>
          <w:sz w:val="22"/>
        </w:rPr>
        <w:t xml:space="preserve">cy od daty dostawy. </w:t>
      </w:r>
      <w:r>
        <w:rPr>
          <w:rFonts w:ascii="Calibri" w:hAnsi="Calibri" w:cs="Tahoma"/>
          <w:sz w:val="22"/>
        </w:rPr>
        <w:br/>
      </w:r>
      <w:r w:rsidRPr="00693F3C">
        <w:rPr>
          <w:rFonts w:ascii="Calibri" w:hAnsi="Calibri" w:cs="Tahoma"/>
          <w:sz w:val="22"/>
        </w:rPr>
        <w:t>O przedłużeniu tego okresu Ubezpieczyciel musi być poinformowany przez Ubezpieczającego</w:t>
      </w:r>
      <w:r>
        <w:rPr>
          <w:rFonts w:ascii="Calibri" w:hAnsi="Calibri" w:cs="Tahoma"/>
          <w:sz w:val="22"/>
        </w:rPr>
        <w:t>. O</w:t>
      </w:r>
      <w:r w:rsidRPr="00693F3C">
        <w:rPr>
          <w:rFonts w:ascii="Calibri" w:hAnsi="Calibri" w:cs="Tahoma"/>
          <w:sz w:val="22"/>
        </w:rPr>
        <w:t xml:space="preserve">chrona ubezpieczeniowa w ramach tej klauzuli kończy się z chwilą przekazania sprzętu </w:t>
      </w:r>
      <w:r>
        <w:rPr>
          <w:rFonts w:ascii="Calibri" w:hAnsi="Calibri" w:cs="Tahoma"/>
          <w:sz w:val="22"/>
        </w:rPr>
        <w:br/>
      </w:r>
      <w:r w:rsidRPr="00693F3C">
        <w:rPr>
          <w:rFonts w:ascii="Calibri" w:hAnsi="Calibri" w:cs="Tahoma"/>
          <w:sz w:val="22"/>
        </w:rPr>
        <w:t>do ponownej eksploatacji. Od tego momentu zakres ochrony obowiązuje zgodnie z SIWZ.</w:t>
      </w:r>
      <w:r>
        <w:rPr>
          <w:rFonts w:ascii="Calibri" w:hAnsi="Calibri" w:cs="Tahoma"/>
          <w:sz w:val="22"/>
        </w:rPr>
        <w:t xml:space="preserve"> </w:t>
      </w:r>
    </w:p>
    <w:p w14:paraId="597FB4C4" w14:textId="77777777" w:rsidR="006A696A" w:rsidRDefault="006A696A" w:rsidP="006A696A">
      <w:pPr>
        <w:pStyle w:val="Tekstpodstawowy"/>
        <w:widowControl w:val="0"/>
        <w:spacing w:after="0" w:line="240" w:lineRule="auto"/>
        <w:jc w:val="both"/>
        <w:rPr>
          <w:rFonts w:cs="Tahoma"/>
          <w:color w:val="000000"/>
          <w:szCs w:val="18"/>
        </w:rPr>
      </w:pPr>
      <w:r w:rsidRPr="00693F3C">
        <w:rPr>
          <w:rFonts w:ascii="Calibri" w:hAnsi="Calibri" w:cs="Tahoma"/>
          <w:color w:val="000000"/>
          <w:sz w:val="22"/>
        </w:rPr>
        <w:t xml:space="preserve">Ochrona ubezpieczeniowa w ramach tej klauzuli pokrywa szkody, które powstały w </w:t>
      </w:r>
      <w:r>
        <w:rPr>
          <w:rFonts w:ascii="Calibri" w:hAnsi="Calibri" w:cs="Tahoma"/>
          <w:color w:val="000000"/>
          <w:sz w:val="22"/>
        </w:rPr>
        <w:t>d</w:t>
      </w:r>
      <w:r w:rsidRPr="00693F3C">
        <w:rPr>
          <w:rFonts w:ascii="Calibri" w:hAnsi="Calibri" w:cs="Tahoma"/>
          <w:color w:val="000000"/>
          <w:sz w:val="22"/>
        </w:rPr>
        <w:t xml:space="preserve">ostarczanym </w:t>
      </w:r>
      <w:r w:rsidRPr="00693F3C">
        <w:rPr>
          <w:rFonts w:ascii="Calibri" w:hAnsi="Calibri" w:cs="Tahoma"/>
          <w:color w:val="000000"/>
          <w:sz w:val="22"/>
        </w:rPr>
        <w:br/>
        <w:t>lub  przekazanym sprzęcie/częściach</w:t>
      </w:r>
      <w:r>
        <w:rPr>
          <w:rFonts w:ascii="Calibri" w:hAnsi="Calibri" w:cs="Tahoma"/>
          <w:color w:val="000000"/>
          <w:sz w:val="22"/>
        </w:rPr>
        <w:t xml:space="preserve"> zgłoszonych</w:t>
      </w:r>
      <w:r w:rsidRPr="00693F3C">
        <w:rPr>
          <w:rFonts w:ascii="Calibri" w:hAnsi="Calibri" w:cs="Tahoma"/>
          <w:color w:val="000000"/>
          <w:sz w:val="22"/>
        </w:rPr>
        <w:t xml:space="preserve"> do ubezpieczenia. Szkody, które powstały </w:t>
      </w:r>
      <w:r>
        <w:rPr>
          <w:rFonts w:ascii="Calibri" w:hAnsi="Calibri" w:cs="Tahoma"/>
          <w:color w:val="000000"/>
          <w:sz w:val="22"/>
        </w:rPr>
        <w:br/>
      </w:r>
      <w:r w:rsidRPr="00693F3C">
        <w:rPr>
          <w:rFonts w:ascii="Calibri" w:hAnsi="Calibri" w:cs="Tahoma"/>
          <w:color w:val="000000"/>
          <w:sz w:val="22"/>
        </w:rPr>
        <w:t>w związku z transportem lub montażem ubezpieczonego sprzętu lub szkody, które są pokrywane przez producenta, dostawcę lub firmę montującą, nie są przedmiotem tego ubezpieczenia</w:t>
      </w:r>
      <w:r w:rsidRPr="00214186">
        <w:rPr>
          <w:rFonts w:cs="Tahoma"/>
          <w:color w:val="000000"/>
          <w:szCs w:val="18"/>
        </w:rPr>
        <w:t>.</w:t>
      </w:r>
    </w:p>
    <w:p w14:paraId="13469D58" w14:textId="77777777" w:rsidR="006A696A" w:rsidRDefault="006A696A" w:rsidP="006A696A">
      <w:pPr>
        <w:spacing w:after="0" w:line="240" w:lineRule="auto"/>
        <w:jc w:val="both"/>
        <w:rPr>
          <w:rFonts w:cs="Arial"/>
        </w:rPr>
      </w:pPr>
    </w:p>
    <w:p w14:paraId="170F0027" w14:textId="77777777" w:rsidR="006A696A" w:rsidRDefault="006A696A" w:rsidP="006A696A">
      <w:pPr>
        <w:spacing w:after="0" w:line="240" w:lineRule="auto"/>
        <w:jc w:val="both"/>
        <w:rPr>
          <w:rFonts w:cs="Arial"/>
          <w:b/>
        </w:rPr>
      </w:pPr>
      <w:r>
        <w:rPr>
          <w:rFonts w:cs="Arial"/>
          <w:b/>
        </w:rPr>
        <w:t xml:space="preserve">(3) </w:t>
      </w:r>
      <w:r w:rsidRPr="001A0931">
        <w:rPr>
          <w:rFonts w:cs="Arial"/>
          <w:b/>
        </w:rPr>
        <w:t>Klauzula 101/1 - Ubezpieczenie sprzętu przenośnego (w tym telefonów komórkowych)</w:t>
      </w:r>
    </w:p>
    <w:p w14:paraId="3585A113" w14:textId="77777777" w:rsidR="006A696A" w:rsidRPr="001A0931" w:rsidRDefault="006A696A" w:rsidP="006A696A">
      <w:pPr>
        <w:spacing w:after="0" w:line="240" w:lineRule="auto"/>
        <w:jc w:val="both"/>
        <w:rPr>
          <w:rFonts w:cs="Arial"/>
        </w:rPr>
      </w:pPr>
      <w:r w:rsidRPr="001A0931">
        <w:rPr>
          <w:rFonts w:cs="Arial"/>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14:paraId="628125A0" w14:textId="77777777" w:rsidR="006A696A" w:rsidRDefault="006A696A" w:rsidP="006A696A">
      <w:pPr>
        <w:spacing w:after="0" w:line="240" w:lineRule="auto"/>
        <w:jc w:val="both"/>
        <w:rPr>
          <w:rFonts w:cs="Arial"/>
        </w:rPr>
      </w:pPr>
      <w:r w:rsidRPr="001A0931">
        <w:rPr>
          <w:rFonts w:cs="Arial"/>
        </w:rPr>
        <w:t>W przypadku kradzieży z włamaniem ubezpieczonych przedmiotów z pojazdu Ubezp</w:t>
      </w:r>
      <w:r>
        <w:rPr>
          <w:rFonts w:cs="Arial"/>
        </w:rPr>
        <w:t xml:space="preserve">ieczyciel odpowiada, między innymi </w:t>
      </w:r>
      <w:r w:rsidRPr="001A0931">
        <w:rPr>
          <w:rFonts w:cs="Arial"/>
        </w:rPr>
        <w:t>gdy:</w:t>
      </w:r>
    </w:p>
    <w:p w14:paraId="0F8D4F28" w14:textId="77777777" w:rsidR="006A696A" w:rsidRPr="001A0931" w:rsidRDefault="006A696A" w:rsidP="006A696A">
      <w:pPr>
        <w:spacing w:after="0" w:line="240" w:lineRule="auto"/>
        <w:jc w:val="both"/>
        <w:rPr>
          <w:rFonts w:cs="Arial"/>
        </w:rPr>
      </w:pPr>
      <w:r>
        <w:rPr>
          <w:rFonts w:cs="Arial"/>
        </w:rPr>
        <w:t xml:space="preserve">a) </w:t>
      </w:r>
      <w:r w:rsidRPr="001A0931">
        <w:rPr>
          <w:rFonts w:cs="Arial"/>
        </w:rPr>
        <w:t>pojazd posiada trwałe zadaszenie (jednolita sztywna konstrukcja),</w:t>
      </w:r>
    </w:p>
    <w:p w14:paraId="3B2277D1" w14:textId="77777777" w:rsidR="006A696A" w:rsidRPr="001A0931" w:rsidRDefault="006A696A" w:rsidP="006A696A">
      <w:pPr>
        <w:spacing w:after="0" w:line="240" w:lineRule="auto"/>
        <w:jc w:val="both"/>
        <w:rPr>
          <w:rFonts w:cs="Arial"/>
        </w:rPr>
      </w:pPr>
      <w:r>
        <w:rPr>
          <w:rFonts w:cs="Arial"/>
        </w:rPr>
        <w:t xml:space="preserve">b) </w:t>
      </w:r>
      <w:r w:rsidRPr="001A0931">
        <w:rPr>
          <w:rFonts w:cs="Arial"/>
        </w:rPr>
        <w:t>w trakcie postoju podczas transportu pojazd został prawidłowo zamknięty na wszystkie istniejące zamki i włączony został sprawnie działający system alarmowy,</w:t>
      </w:r>
    </w:p>
    <w:p w14:paraId="345B4EF0" w14:textId="77777777" w:rsidR="006A696A" w:rsidRPr="001A0931" w:rsidRDefault="006A696A" w:rsidP="006A696A">
      <w:pPr>
        <w:spacing w:after="0" w:line="240" w:lineRule="auto"/>
        <w:jc w:val="both"/>
        <w:rPr>
          <w:rFonts w:cs="Arial"/>
        </w:rPr>
      </w:pPr>
      <w:r>
        <w:rPr>
          <w:rFonts w:cs="Arial"/>
        </w:rPr>
        <w:t xml:space="preserve">c) </w:t>
      </w:r>
      <w:r w:rsidRPr="001A0931">
        <w:rPr>
          <w:rFonts w:cs="Arial"/>
        </w:rPr>
        <w:t xml:space="preserve">kradzież z włamaniem miała miejsce pomiędzy godziną 6.00 a 22.00 (ograniczeń czasowych nie stosuje się, gdy pojazd z transportowanym sprzętem był pozostawiony na parkingu strzeżonym lub </w:t>
      </w:r>
    </w:p>
    <w:p w14:paraId="2DF02801" w14:textId="77777777" w:rsidR="006A696A" w:rsidRPr="001A0931" w:rsidRDefault="006A696A" w:rsidP="006A696A">
      <w:pPr>
        <w:spacing w:after="0" w:line="240" w:lineRule="auto"/>
        <w:jc w:val="both"/>
        <w:rPr>
          <w:rFonts w:cs="Arial"/>
        </w:rPr>
      </w:pPr>
      <w:r w:rsidRPr="001A0931">
        <w:rPr>
          <w:rFonts w:cs="Arial"/>
        </w:rPr>
        <w:t>w zamkniętym garażu),</w:t>
      </w:r>
    </w:p>
    <w:p w14:paraId="713B6788" w14:textId="77777777" w:rsidR="006A696A" w:rsidRPr="001A0931" w:rsidRDefault="006A696A" w:rsidP="006A696A">
      <w:pPr>
        <w:spacing w:after="0" w:line="240" w:lineRule="auto"/>
        <w:jc w:val="both"/>
        <w:rPr>
          <w:rFonts w:cs="Arial"/>
        </w:rPr>
      </w:pPr>
      <w:r>
        <w:rPr>
          <w:rFonts w:cs="Arial"/>
        </w:rPr>
        <w:t xml:space="preserve">d) </w:t>
      </w:r>
      <w:r w:rsidRPr="001A0931">
        <w:rPr>
          <w:rFonts w:cs="Arial"/>
        </w:rPr>
        <w:t>sprzęt pozostawiony w pojeździe jest niewidoczny z zewnątrz.</w:t>
      </w:r>
    </w:p>
    <w:p w14:paraId="0EFFBCF4" w14:textId="77777777" w:rsidR="006A696A" w:rsidRPr="001A0931" w:rsidRDefault="006A696A" w:rsidP="006A696A">
      <w:pPr>
        <w:spacing w:after="0" w:line="240" w:lineRule="auto"/>
        <w:jc w:val="both"/>
        <w:rPr>
          <w:rFonts w:cs="Arial"/>
        </w:rPr>
      </w:pPr>
      <w:r w:rsidRPr="001A0931">
        <w:rPr>
          <w:rFonts w:cs="Arial"/>
        </w:rPr>
        <w:t xml:space="preserve">W każdym przypadku utraty sprzętu (w tym również telefonów) w wyniku kradzieży z włamaniem </w:t>
      </w:r>
      <w:r>
        <w:rPr>
          <w:rFonts w:cs="Arial"/>
        </w:rPr>
        <w:br/>
      </w:r>
      <w:r w:rsidRPr="001A0931">
        <w:rPr>
          <w:rFonts w:cs="Arial"/>
        </w:rPr>
        <w:t>lub rabunku  Ubezpieczony  ponosi udział własny w wysokości 5% wartości szkody</w:t>
      </w:r>
      <w:r>
        <w:rPr>
          <w:rFonts w:cs="Arial"/>
        </w:rPr>
        <w:t>.</w:t>
      </w:r>
    </w:p>
    <w:p w14:paraId="04008987" w14:textId="77777777" w:rsidR="006A696A" w:rsidRDefault="006A696A" w:rsidP="006A696A">
      <w:pPr>
        <w:spacing w:after="0" w:line="240" w:lineRule="auto"/>
        <w:jc w:val="both"/>
        <w:rPr>
          <w:rFonts w:cs="Arial"/>
          <w:b/>
        </w:rPr>
      </w:pPr>
    </w:p>
    <w:p w14:paraId="23A8ABF4" w14:textId="77777777" w:rsidR="006A696A" w:rsidRPr="007F6E61" w:rsidRDefault="006A696A" w:rsidP="006A696A">
      <w:pPr>
        <w:spacing w:after="0" w:line="240" w:lineRule="auto"/>
        <w:jc w:val="both"/>
        <w:rPr>
          <w:rFonts w:cs="Arial"/>
          <w:b/>
        </w:rPr>
      </w:pPr>
      <w:r>
        <w:rPr>
          <w:rFonts w:cs="Arial"/>
          <w:b/>
        </w:rPr>
        <w:t>(4) Klauzula szkód elektrycznych</w:t>
      </w:r>
    </w:p>
    <w:p w14:paraId="18D9740E" w14:textId="77777777" w:rsidR="006A696A" w:rsidRPr="007F6E61" w:rsidRDefault="006A696A" w:rsidP="006A696A">
      <w:pPr>
        <w:spacing w:after="0" w:line="240" w:lineRule="auto"/>
        <w:jc w:val="both"/>
        <w:rPr>
          <w:rFonts w:cs="Arial"/>
        </w:rPr>
      </w:pPr>
      <w:r w:rsidRPr="007F6E61">
        <w:rPr>
          <w:rFonts w:cs="Arial"/>
        </w:rPr>
        <w:t>Z zastrzeżeniem pozostałych, nie zmienionych niniejszą klauzulą, postanowień umowy ubezpieczenia, stronu ustalają: Ochrona ubezpieczeniowa obejmuje dodatkowo maszyny, urządzenia, aparaty, instalacje elektryczne od szkód spowodowanych niewłaściwym d</w:t>
      </w:r>
      <w:r>
        <w:rPr>
          <w:rFonts w:cs="Arial"/>
        </w:rPr>
        <w:t xml:space="preserve">ziałaniem prądu elektrycznego, </w:t>
      </w:r>
      <w:r>
        <w:rPr>
          <w:rFonts w:cs="Arial"/>
        </w:rPr>
        <w:br/>
      </w:r>
      <w:r w:rsidRPr="007F6E61">
        <w:rPr>
          <w:rFonts w:cs="Arial"/>
        </w:rPr>
        <w:lastRenderedPageBreak/>
        <w:t xml:space="preserve">w szczególności powstałych w wyniku zwarcia/uszkodzenia izolacji, nadmiernego wzrostu lub obniżenia napięcia, przegrzania, okopcenia, itp. </w:t>
      </w:r>
    </w:p>
    <w:p w14:paraId="6945EA57" w14:textId="77777777" w:rsidR="006A696A" w:rsidRDefault="006A696A" w:rsidP="006A696A">
      <w:pPr>
        <w:spacing w:after="0" w:line="240" w:lineRule="auto"/>
        <w:jc w:val="both"/>
        <w:rPr>
          <w:rFonts w:cs="Arial"/>
        </w:rPr>
      </w:pPr>
      <w:r>
        <w:rPr>
          <w:rFonts w:cs="Arial"/>
        </w:rPr>
        <w:t>U</w:t>
      </w:r>
      <w:r w:rsidRPr="007F6E61">
        <w:rPr>
          <w:rFonts w:cs="Arial"/>
        </w:rPr>
        <w:t>bezp</w:t>
      </w:r>
      <w:r>
        <w:rPr>
          <w:rFonts w:cs="Arial"/>
        </w:rPr>
        <w:t>ieczeniem nie są objęte:</w:t>
      </w:r>
    </w:p>
    <w:p w14:paraId="3A3C00B8" w14:textId="77777777" w:rsidR="006A696A" w:rsidRPr="007F6E61" w:rsidRDefault="006A696A" w:rsidP="006A696A">
      <w:pPr>
        <w:spacing w:after="0" w:line="240" w:lineRule="auto"/>
        <w:jc w:val="both"/>
        <w:rPr>
          <w:rFonts w:cs="Arial"/>
        </w:rPr>
      </w:pPr>
      <w:r>
        <w:rPr>
          <w:rFonts w:cs="Arial"/>
        </w:rPr>
        <w:t xml:space="preserve">-  szkody </w:t>
      </w:r>
      <w:r w:rsidRPr="007F6E61">
        <w:rPr>
          <w:rFonts w:cs="Arial"/>
        </w:rPr>
        <w:t xml:space="preserve">mechaniczne, chyba że powstały w </w:t>
      </w:r>
      <w:r>
        <w:rPr>
          <w:rFonts w:cs="Arial"/>
        </w:rPr>
        <w:t>następstwie szkody elektrycznej.</w:t>
      </w:r>
    </w:p>
    <w:p w14:paraId="2AF46903" w14:textId="77777777" w:rsidR="006A696A" w:rsidRPr="007F6E61" w:rsidRDefault="006A696A" w:rsidP="006A696A">
      <w:pPr>
        <w:spacing w:after="0" w:line="240" w:lineRule="auto"/>
        <w:jc w:val="both"/>
        <w:rPr>
          <w:rFonts w:cs="Arial"/>
        </w:rPr>
      </w:pPr>
      <w:r w:rsidRPr="007F6E61">
        <w:rPr>
          <w:rFonts w:cs="Arial"/>
        </w:rPr>
        <w:t>- w okresie gwarancyjnym, pokrywane przez producenta lub przez zewnętrzny warsztat naprawczy,</w:t>
      </w:r>
      <w:r>
        <w:rPr>
          <w:rFonts w:cs="Arial"/>
        </w:rPr>
        <w:br/>
      </w:r>
      <w:r w:rsidRPr="007F6E61">
        <w:rPr>
          <w:rFonts w:cs="Arial"/>
        </w:rPr>
        <w:t>- w czasie naprawy oraz podczas prób dokonywanych na maszynach elektrycznych (na przebicie izolacji, na obciążenie, na nagrzewanie się maszyny, itp.) z wyjątkiem prób dokonywanych w związku</w:t>
      </w:r>
      <w:r>
        <w:rPr>
          <w:rFonts w:cs="Arial"/>
        </w:rPr>
        <w:br/>
      </w:r>
      <w:r w:rsidRPr="007F6E61">
        <w:rPr>
          <w:rFonts w:cs="Arial"/>
        </w:rPr>
        <w:t>z okresowymi badaniami eksploatacyjnymi (oględzinami i przeglądami),</w:t>
      </w:r>
    </w:p>
    <w:p w14:paraId="7D6D6D94" w14:textId="77777777" w:rsidR="006A696A" w:rsidRPr="007F6E61" w:rsidRDefault="006A696A" w:rsidP="006A696A">
      <w:pPr>
        <w:spacing w:after="0" w:line="240" w:lineRule="auto"/>
        <w:jc w:val="both"/>
        <w:rPr>
          <w:rFonts w:cs="Arial"/>
        </w:rPr>
      </w:pPr>
      <w:r w:rsidRPr="007F6E61">
        <w:rPr>
          <w:rFonts w:cs="Arial"/>
        </w:rPr>
        <w:t xml:space="preserve">- we wszelkiego rodzaju miernikach (woltomierzach, amperomierzach, indykatorach, itp.) i licznikach,    </w:t>
      </w:r>
    </w:p>
    <w:p w14:paraId="6A11D0A2" w14:textId="77777777" w:rsidR="006A696A" w:rsidRPr="007F6E61" w:rsidRDefault="006A696A" w:rsidP="006A696A">
      <w:pPr>
        <w:spacing w:after="0" w:line="240" w:lineRule="auto"/>
        <w:jc w:val="both"/>
        <w:rPr>
          <w:rFonts w:cs="Arial"/>
        </w:rPr>
      </w:pPr>
      <w:r w:rsidRPr="007F6E61">
        <w:rPr>
          <w:rFonts w:cs="Arial"/>
        </w:rPr>
        <w:t>- we wszelkiego rodzaju bezpiecznikach elektrycznych, stycznikach i odgromnikach oraz żarówkach, grzejnikach, lampach itp.,</w:t>
      </w:r>
    </w:p>
    <w:p w14:paraId="487DB915" w14:textId="77777777" w:rsidR="006A696A" w:rsidRPr="007F6E61" w:rsidRDefault="006A696A" w:rsidP="006A696A">
      <w:pPr>
        <w:spacing w:after="0" w:line="240" w:lineRule="auto"/>
        <w:jc w:val="both"/>
        <w:rPr>
          <w:rFonts w:cs="Arial"/>
        </w:rPr>
      </w:pPr>
      <w:r w:rsidRPr="007F6E61">
        <w:rPr>
          <w:rFonts w:cs="Arial"/>
        </w:rPr>
        <w:t xml:space="preserve">- w maszynach elektrycznych, w których - w okresie bezpośrednio poprzedzającym szkodę - nie przeprowadzono okresowego badania eksploatacyjnego (oględzin i przeglądu) stosownie </w:t>
      </w:r>
    </w:p>
    <w:p w14:paraId="1A32397E" w14:textId="77777777" w:rsidR="006A696A" w:rsidRPr="007F6E61" w:rsidRDefault="006A696A" w:rsidP="006A696A">
      <w:pPr>
        <w:spacing w:after="0" w:line="240" w:lineRule="auto"/>
        <w:jc w:val="both"/>
        <w:rPr>
          <w:rFonts w:cs="Arial"/>
        </w:rPr>
      </w:pPr>
      <w:r w:rsidRPr="007F6E61">
        <w:rPr>
          <w:rFonts w:cs="Arial"/>
        </w:rPr>
        <w:t xml:space="preserve">do obowiązujących przepisów lub konserwacji, </w:t>
      </w:r>
    </w:p>
    <w:p w14:paraId="13D4489B" w14:textId="77777777" w:rsidR="006A696A" w:rsidRPr="007F6E61" w:rsidRDefault="006A696A" w:rsidP="006A696A">
      <w:pPr>
        <w:spacing w:after="0" w:line="240" w:lineRule="auto"/>
        <w:jc w:val="both"/>
        <w:rPr>
          <w:rFonts w:cs="Arial"/>
        </w:rPr>
      </w:pPr>
      <w:r w:rsidRPr="007F6E61">
        <w:rPr>
          <w:rFonts w:cs="Arial"/>
        </w:rPr>
        <w:t>- w elektroenergetycznych liniach przesyłowych.</w:t>
      </w:r>
    </w:p>
    <w:p w14:paraId="51F20DC4" w14:textId="77777777" w:rsidR="006A696A" w:rsidRDefault="006A696A" w:rsidP="006A696A">
      <w:pPr>
        <w:spacing w:after="0" w:line="240" w:lineRule="auto"/>
        <w:jc w:val="both"/>
        <w:rPr>
          <w:rFonts w:cs="Arial"/>
        </w:rPr>
      </w:pPr>
      <w:r w:rsidRPr="007F6E61">
        <w:rPr>
          <w:rFonts w:cs="Arial"/>
        </w:rPr>
        <w:t>Limit odpowiedzialności na jedno i wszystkie zdarzenia w okre</w:t>
      </w:r>
      <w:r>
        <w:rPr>
          <w:rFonts w:cs="Arial"/>
        </w:rPr>
        <w:t>sie ubezpieczenia: 200.000 PLN (limit wspólny dla Części A i B niniejszego zamówienia)</w:t>
      </w:r>
    </w:p>
    <w:p w14:paraId="4E06FF87" w14:textId="77777777" w:rsidR="006A696A" w:rsidRDefault="006A696A" w:rsidP="006A696A">
      <w:pPr>
        <w:spacing w:after="0" w:line="240" w:lineRule="auto"/>
        <w:jc w:val="both"/>
        <w:rPr>
          <w:rFonts w:cs="Arial"/>
        </w:rPr>
      </w:pPr>
    </w:p>
    <w:p w14:paraId="5AF88EFF" w14:textId="7B59DAD5" w:rsidR="0065417E" w:rsidRDefault="00840555" w:rsidP="001D1EB6">
      <w:pPr>
        <w:jc w:val="both"/>
      </w:pPr>
      <w:r>
        <w:rPr>
          <w:rFonts w:cs="Arial"/>
          <w:b/>
        </w:rPr>
        <w:t>(</w:t>
      </w:r>
      <w:r w:rsidR="006A696A">
        <w:rPr>
          <w:rFonts w:cs="Arial"/>
          <w:b/>
        </w:rPr>
        <w:t>5</w:t>
      </w:r>
      <w:r>
        <w:rPr>
          <w:rFonts w:cs="Arial"/>
          <w:b/>
        </w:rPr>
        <w:t xml:space="preserve">) </w:t>
      </w:r>
      <w:r w:rsidRPr="00D54A31">
        <w:rPr>
          <w:rFonts w:cs="Arial"/>
          <w:b/>
        </w:rPr>
        <w:t xml:space="preserve">Klauzula funduszu prewencyjnego – </w:t>
      </w:r>
      <w:r>
        <w:rPr>
          <w:rFonts w:cs="Tahoma"/>
          <w:snapToGrid w:val="0"/>
          <w:szCs w:val="18"/>
        </w:rPr>
        <w:t>Ubezpieczyciel przyznaje dofinansowanie</w:t>
      </w:r>
      <w:r w:rsidRPr="00286D9D">
        <w:rPr>
          <w:rFonts w:cs="Tahoma"/>
          <w:snapToGrid w:val="0"/>
          <w:szCs w:val="18"/>
        </w:rPr>
        <w:t xml:space="preserve"> ze środków funduszu prewencyjnego w okresie </w:t>
      </w:r>
      <w:r w:rsidR="006B12D0">
        <w:rPr>
          <w:rFonts w:cs="Tahoma"/>
          <w:snapToGrid w:val="0"/>
          <w:szCs w:val="18"/>
        </w:rPr>
        <w:t xml:space="preserve">od 1 czerwca 2022 r. do 31 maja 2024 r. </w:t>
      </w:r>
      <w:r w:rsidRPr="00286D9D">
        <w:rPr>
          <w:rFonts w:cs="Tahoma"/>
          <w:snapToGrid w:val="0"/>
          <w:szCs w:val="18"/>
        </w:rPr>
        <w:t xml:space="preserve"> w </w:t>
      </w:r>
      <w:r>
        <w:rPr>
          <w:rFonts w:cs="Tahoma"/>
          <w:snapToGrid w:val="0"/>
          <w:szCs w:val="18"/>
        </w:rPr>
        <w:t xml:space="preserve">kwocie odpowiadającej 10% wysokości składki rocznej w każdym roku polisowym, </w:t>
      </w:r>
      <w:r w:rsidRPr="00286D9D">
        <w:rPr>
          <w:rFonts w:cs="Tahoma"/>
          <w:snapToGrid w:val="0"/>
          <w:szCs w:val="18"/>
        </w:rPr>
        <w:t>do wykorzystania w okresie obowiązywania</w:t>
      </w:r>
      <w:r>
        <w:rPr>
          <w:rFonts w:cs="Tahoma"/>
          <w:snapToGrid w:val="0"/>
          <w:szCs w:val="18"/>
        </w:rPr>
        <w:t xml:space="preserve"> umowy</w:t>
      </w:r>
      <w:r w:rsidRPr="00286D9D">
        <w:rPr>
          <w:rFonts w:cs="Tahoma"/>
          <w:snapToGrid w:val="0"/>
          <w:szCs w:val="18"/>
        </w:rPr>
        <w:t xml:space="preserve"> ubezpieczenia. Środki zostaną wypłacone </w:t>
      </w:r>
      <w:r>
        <w:rPr>
          <w:rFonts w:cs="Tahoma"/>
          <w:snapToGrid w:val="0"/>
          <w:szCs w:val="18"/>
        </w:rPr>
        <w:t xml:space="preserve">na </w:t>
      </w:r>
      <w:r w:rsidRPr="00286D9D">
        <w:rPr>
          <w:rFonts w:cs="Tahoma"/>
          <w:snapToGrid w:val="0"/>
          <w:szCs w:val="18"/>
        </w:rPr>
        <w:t>cel prewencyjny</w:t>
      </w:r>
      <w:r>
        <w:rPr>
          <w:rFonts w:cs="Tahoma"/>
          <w:snapToGrid w:val="0"/>
          <w:szCs w:val="18"/>
        </w:rPr>
        <w:t xml:space="preserve"> uzgodniony z Ubezpieczycielem.</w:t>
      </w:r>
    </w:p>
    <w:sectPr w:rsidR="0065417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439D4" w14:textId="77777777" w:rsidR="00343CD5" w:rsidRDefault="00343CD5" w:rsidP="00830AD0">
      <w:pPr>
        <w:spacing w:after="0" w:line="240" w:lineRule="auto"/>
      </w:pPr>
      <w:r>
        <w:separator/>
      </w:r>
    </w:p>
  </w:endnote>
  <w:endnote w:type="continuationSeparator" w:id="0">
    <w:p w14:paraId="272E034E" w14:textId="77777777" w:rsidR="00343CD5" w:rsidRDefault="00343CD5" w:rsidP="0083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umanist521PL-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B684" w14:textId="77777777" w:rsidR="00343CD5" w:rsidRDefault="00343CD5" w:rsidP="00830AD0">
      <w:pPr>
        <w:spacing w:after="0" w:line="240" w:lineRule="auto"/>
      </w:pPr>
      <w:r>
        <w:separator/>
      </w:r>
    </w:p>
  </w:footnote>
  <w:footnote w:type="continuationSeparator" w:id="0">
    <w:p w14:paraId="4EA5A9EF" w14:textId="77777777" w:rsidR="00343CD5" w:rsidRDefault="00343CD5" w:rsidP="00830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D5F9" w14:textId="77777777" w:rsidR="00830AD0" w:rsidRDefault="00830AD0" w:rsidP="00830AD0">
    <w:pPr>
      <w:spacing w:after="0" w:line="360" w:lineRule="auto"/>
      <w:ind w:left="350"/>
      <w:jc w:val="center"/>
      <w:rPr>
        <w:rFonts w:ascii="Calibri Light" w:eastAsia="Arial" w:hAnsi="Calibri Light" w:cs="Arial"/>
        <w:bCs/>
        <w:i/>
        <w:iCs/>
      </w:rPr>
    </w:pPr>
    <w:r w:rsidRPr="00F64B6D">
      <w:rPr>
        <w:rFonts w:ascii="Calibri Light" w:hAnsi="Calibri Light"/>
        <w:bCs/>
        <w:i/>
        <w:iCs/>
      </w:rPr>
      <w:t xml:space="preserve">Kompleksowe Ubezpieczenie </w:t>
    </w:r>
    <w:r w:rsidRPr="00F64B6D">
      <w:rPr>
        <w:rFonts w:ascii="Calibri Light" w:hAnsi="Calibri Light" w:cs="Calibri"/>
        <w:bCs/>
        <w:i/>
        <w:iCs/>
      </w:rPr>
      <w:t>Powiatowego Centrum Zdrowia Sp. z o.o.</w:t>
    </w:r>
    <w:r w:rsidRPr="00F64B6D">
      <w:rPr>
        <w:rFonts w:ascii="Calibri Light" w:eastAsia="Arial" w:hAnsi="Calibri Light" w:cs="Arial"/>
        <w:bCs/>
        <w:i/>
        <w:iCs/>
      </w:rPr>
      <w:t xml:space="preserve"> w Malborku</w:t>
    </w:r>
  </w:p>
  <w:p w14:paraId="2FD489A6" w14:textId="4AD3F5B4" w:rsidR="00830AD0" w:rsidRPr="00A85181" w:rsidRDefault="00830AD0" w:rsidP="00830AD0">
    <w:pPr>
      <w:spacing w:after="0" w:line="25" w:lineRule="atLeast"/>
      <w:jc w:val="center"/>
      <w:rPr>
        <w:rFonts w:ascii="Calibri Light" w:eastAsia="Arial Unicode MS" w:hAnsi="Calibri Light" w:cs="Calibri"/>
        <w:iCs/>
      </w:rPr>
    </w:pPr>
    <w:r w:rsidRPr="00EC02CA">
      <w:rPr>
        <w:rFonts w:ascii="Calibri Light" w:eastAsia="Arial Unicode MS" w:hAnsi="Calibri Light" w:cs="Calibri"/>
      </w:rPr>
      <w:t>Nr sprawy: PCZ.ZP</w:t>
    </w:r>
    <w:r w:rsidR="00EC02CA">
      <w:rPr>
        <w:rFonts w:ascii="Calibri Light" w:eastAsia="Arial Unicode MS" w:hAnsi="Calibri Light" w:cs="Calibri"/>
      </w:rPr>
      <w:t>.</w:t>
    </w:r>
    <w:r w:rsidR="00EC02CA" w:rsidRPr="00EC02CA">
      <w:rPr>
        <w:rFonts w:ascii="Calibri Light" w:eastAsia="Arial Unicode MS" w:hAnsi="Calibri Light" w:cs="Calibri"/>
      </w:rPr>
      <w:t>04/2</w:t>
    </w:r>
    <w:r w:rsidR="00EC02CA">
      <w:rPr>
        <w:rFonts w:ascii="Calibri Light" w:eastAsia="Arial Unicode MS" w:hAnsi="Calibri Light" w:cs="Calibri"/>
      </w:rPr>
      <w:t>022</w:t>
    </w:r>
  </w:p>
  <w:p w14:paraId="07B17721" w14:textId="77777777" w:rsidR="00830AD0" w:rsidRDefault="00830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DEC"/>
    <w:multiLevelType w:val="hybridMultilevel"/>
    <w:tmpl w:val="3FE46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8766DB"/>
    <w:multiLevelType w:val="hybridMultilevel"/>
    <w:tmpl w:val="38BE24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1EA5556"/>
    <w:multiLevelType w:val="hybridMultilevel"/>
    <w:tmpl w:val="928A305E"/>
    <w:lvl w:ilvl="0" w:tplc="75C0D7B8">
      <w:start w:val="1"/>
      <w:numFmt w:val="decimal"/>
      <w:pStyle w:val="Nagwek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6845C8C"/>
    <w:multiLevelType w:val="hybridMultilevel"/>
    <w:tmpl w:val="1C9AC572"/>
    <w:lvl w:ilvl="0" w:tplc="51B06206">
      <w:start w:val="1"/>
      <w:numFmt w:val="bullet"/>
      <w:pStyle w:val="GrECoAufzhlung"/>
      <w:lvlText w:val=""/>
      <w:lvlJc w:val="left"/>
      <w:pPr>
        <w:ind w:left="720" w:hanging="360"/>
      </w:pPr>
      <w:rPr>
        <w:rFonts w:ascii="Symbol" w:hAnsi="Symbol" w:hint="default"/>
        <w:color w:val="FD6A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22BA0"/>
    <w:multiLevelType w:val="hybridMultilevel"/>
    <w:tmpl w:val="B49E82E4"/>
    <w:lvl w:ilvl="0" w:tplc="BE1234A0">
      <w:start w:val="1"/>
      <w:numFmt w:val="decimal"/>
      <w:pStyle w:val="Nagwek2"/>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F336747"/>
    <w:multiLevelType w:val="hybridMultilevel"/>
    <w:tmpl w:val="C2CEEA26"/>
    <w:lvl w:ilvl="0" w:tplc="E1D08F1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040933"/>
    <w:multiLevelType w:val="hybridMultilevel"/>
    <w:tmpl w:val="27BA6D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CA0627A"/>
    <w:multiLevelType w:val="hybridMultilevel"/>
    <w:tmpl w:val="2C30B184"/>
    <w:lvl w:ilvl="0" w:tplc="28FA511C">
      <w:start w:val="1"/>
      <w:numFmt w:val="decimal"/>
      <w:pStyle w:val="Nagwek3"/>
      <w:lvlText w:val="%1.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0563DF4"/>
    <w:multiLevelType w:val="hybridMultilevel"/>
    <w:tmpl w:val="EE108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5B411D6"/>
    <w:multiLevelType w:val="hybridMultilevel"/>
    <w:tmpl w:val="9CA61370"/>
    <w:lvl w:ilvl="0" w:tplc="2F0EB3FA">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CE4410"/>
    <w:multiLevelType w:val="hybridMultilevel"/>
    <w:tmpl w:val="596E33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206094"/>
    <w:multiLevelType w:val="hybridMultilevel"/>
    <w:tmpl w:val="CCB6E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12"/>
    <w:rsid w:val="000238C5"/>
    <w:rsid w:val="000B1543"/>
    <w:rsid w:val="000C7632"/>
    <w:rsid w:val="00106187"/>
    <w:rsid w:val="001355B4"/>
    <w:rsid w:val="00185F32"/>
    <w:rsid w:val="001D1EB6"/>
    <w:rsid w:val="00255C2E"/>
    <w:rsid w:val="002E0B73"/>
    <w:rsid w:val="00343CD5"/>
    <w:rsid w:val="003473C5"/>
    <w:rsid w:val="003E16F3"/>
    <w:rsid w:val="00466F01"/>
    <w:rsid w:val="004C07D3"/>
    <w:rsid w:val="004C15BA"/>
    <w:rsid w:val="004F338E"/>
    <w:rsid w:val="00592F01"/>
    <w:rsid w:val="005D6CA0"/>
    <w:rsid w:val="005E2AEB"/>
    <w:rsid w:val="0060336E"/>
    <w:rsid w:val="00634A8F"/>
    <w:rsid w:val="0065417E"/>
    <w:rsid w:val="00675687"/>
    <w:rsid w:val="006A696A"/>
    <w:rsid w:val="006B12D0"/>
    <w:rsid w:val="00760A4D"/>
    <w:rsid w:val="00820612"/>
    <w:rsid w:val="00830AD0"/>
    <w:rsid w:val="00840555"/>
    <w:rsid w:val="008C06EF"/>
    <w:rsid w:val="008C2D12"/>
    <w:rsid w:val="009907A5"/>
    <w:rsid w:val="009C30F9"/>
    <w:rsid w:val="00A562C2"/>
    <w:rsid w:val="00B47D91"/>
    <w:rsid w:val="00CB63E2"/>
    <w:rsid w:val="00D87AD4"/>
    <w:rsid w:val="00EC02CA"/>
    <w:rsid w:val="00EC31C6"/>
    <w:rsid w:val="00EC745A"/>
    <w:rsid w:val="00F233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GrECo Standard"/>
    <w:qFormat/>
    <w:rsid w:val="00820612"/>
    <w:rPr>
      <w:rFonts w:eastAsiaTheme="minorHAnsi"/>
      <w:lang w:val="pl-PL"/>
    </w:rPr>
  </w:style>
  <w:style w:type="paragraph" w:styleId="Nagwek1">
    <w:name w:val="heading 1"/>
    <w:aliases w:val="GrECo Überschrift 1"/>
    <w:basedOn w:val="Normalny"/>
    <w:next w:val="Normalny"/>
    <w:link w:val="Nagwek1Znak"/>
    <w:qFormat/>
    <w:rsid w:val="00106187"/>
    <w:pPr>
      <w:keepNext/>
      <w:numPr>
        <w:numId w:val="2"/>
      </w:numPr>
      <w:spacing w:after="120" w:line="240" w:lineRule="auto"/>
      <w:outlineLvl w:val="0"/>
    </w:pPr>
    <w:rPr>
      <w:rFonts w:ascii="Calibri" w:eastAsia="Arial Unicode MS" w:hAnsi="Calibri" w:cs="Times New Roman"/>
      <w:bCs/>
      <w:color w:val="005AA1"/>
      <w:sz w:val="32"/>
      <w:szCs w:val="24"/>
      <w:lang w:val="de-AT" w:eastAsia="de-DE"/>
    </w:rPr>
  </w:style>
  <w:style w:type="paragraph" w:styleId="Nagwek2">
    <w:name w:val="heading 2"/>
    <w:aliases w:val="GrECo Überschrift 2"/>
    <w:basedOn w:val="Normalny"/>
    <w:next w:val="Normalny"/>
    <w:link w:val="Nagwek2Znak"/>
    <w:qFormat/>
    <w:rsid w:val="00106187"/>
    <w:pPr>
      <w:keepNext/>
      <w:numPr>
        <w:numId w:val="3"/>
      </w:numPr>
      <w:spacing w:after="120" w:line="240" w:lineRule="auto"/>
      <w:outlineLvl w:val="1"/>
    </w:pPr>
    <w:rPr>
      <w:rFonts w:ascii="Calibri" w:eastAsia="Times New Roman" w:hAnsi="Calibri" w:cs="Times New Roman"/>
      <w:bCs/>
      <w:color w:val="005AA1" w:themeColor="text2"/>
      <w:sz w:val="26"/>
      <w:szCs w:val="24"/>
      <w:lang w:val="de-AT" w:eastAsia="de-DE"/>
    </w:rPr>
  </w:style>
  <w:style w:type="paragraph" w:styleId="Nagwek3">
    <w:name w:val="heading 3"/>
    <w:basedOn w:val="Normalny"/>
    <w:next w:val="Normalny"/>
    <w:link w:val="Nagwek3Znak"/>
    <w:uiPriority w:val="9"/>
    <w:unhideWhenUsed/>
    <w:qFormat/>
    <w:rsid w:val="00106187"/>
    <w:pPr>
      <w:keepNext/>
      <w:keepLines/>
      <w:numPr>
        <w:numId w:val="4"/>
      </w:numPr>
      <w:spacing w:after="120" w:line="240" w:lineRule="auto"/>
      <w:outlineLvl w:val="2"/>
    </w:pPr>
    <w:rPr>
      <w:rFonts w:ascii="Calibri" w:eastAsiaTheme="majorEastAsia" w:hAnsi="Calibri" w:cstheme="majorBidi"/>
      <w:b/>
      <w:bCs/>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
    <w:name w:val="abs"/>
    <w:basedOn w:val="Normalny"/>
    <w:rsid w:val="00106187"/>
    <w:pPr>
      <w:spacing w:before="80" w:line="288" w:lineRule="auto"/>
      <w:ind w:firstLine="397"/>
    </w:pPr>
    <w:rPr>
      <w:color w:val="000000"/>
      <w:sz w:val="20"/>
      <w:szCs w:val="20"/>
      <w:lang w:val="de-AT" w:eastAsia="de-AT"/>
    </w:rPr>
  </w:style>
  <w:style w:type="paragraph" w:styleId="Mapadokumentu">
    <w:name w:val="Document Map"/>
    <w:basedOn w:val="Normalny"/>
    <w:link w:val="MapadokumentuZnak"/>
    <w:uiPriority w:val="99"/>
    <w:semiHidden/>
    <w:unhideWhenUsed/>
    <w:rsid w:val="00106187"/>
    <w:pPr>
      <w:spacing w:after="0" w:line="240" w:lineRule="auto"/>
    </w:pPr>
    <w:rPr>
      <w:rFonts w:ascii="Tahoma" w:eastAsia="Times New Roman" w:hAnsi="Tahoma" w:cs="Tahoma"/>
      <w:sz w:val="16"/>
      <w:szCs w:val="16"/>
      <w:lang w:val="de-DE" w:eastAsia="de-DE"/>
    </w:rPr>
  </w:style>
  <w:style w:type="character" w:customStyle="1" w:styleId="MapadokumentuZnak">
    <w:name w:val="Mapa dokumentu Znak"/>
    <w:basedOn w:val="Domylnaczcionkaakapitu"/>
    <w:link w:val="Mapadokumentu"/>
    <w:uiPriority w:val="99"/>
    <w:semiHidden/>
    <w:rsid w:val="00106187"/>
    <w:rPr>
      <w:rFonts w:ascii="Tahoma" w:eastAsia="Times New Roman" w:hAnsi="Tahoma" w:cs="Tahoma"/>
      <w:sz w:val="16"/>
      <w:szCs w:val="16"/>
      <w:lang w:val="de-DE" w:eastAsia="de-DE"/>
    </w:rPr>
  </w:style>
  <w:style w:type="paragraph" w:styleId="Tekstprzypisudolnego">
    <w:name w:val="footnote text"/>
    <w:basedOn w:val="Normalny"/>
    <w:link w:val="TekstprzypisudolnegoZnak"/>
    <w:semiHidden/>
    <w:rsid w:val="00106187"/>
    <w:pPr>
      <w:spacing w:after="0" w:line="240" w:lineRule="auto"/>
    </w:pPr>
    <w:rPr>
      <w:rFonts w:ascii="Calibri" w:eastAsia="Times New Roman" w:hAnsi="Calibri" w:cs="Times New Roman"/>
      <w:sz w:val="20"/>
      <w:szCs w:val="20"/>
      <w:lang w:val="de-DE" w:eastAsia="de-DE"/>
    </w:rPr>
  </w:style>
  <w:style w:type="character" w:customStyle="1" w:styleId="TekstprzypisudolnegoZnak">
    <w:name w:val="Tekst przypisu dolnego Znak"/>
    <w:basedOn w:val="Domylnaczcionkaakapitu"/>
    <w:link w:val="Tekstprzypisudolnego"/>
    <w:semiHidden/>
    <w:rsid w:val="00106187"/>
    <w:rPr>
      <w:rFonts w:ascii="Calibri" w:eastAsia="Times New Roman" w:hAnsi="Calibri" w:cs="Times New Roman"/>
      <w:sz w:val="20"/>
      <w:szCs w:val="20"/>
      <w:lang w:val="de-DE" w:eastAsia="de-DE"/>
    </w:rPr>
  </w:style>
  <w:style w:type="character" w:styleId="Odwoanieprzypisudolnego">
    <w:name w:val="footnote reference"/>
    <w:basedOn w:val="Domylnaczcionkaakapitu"/>
    <w:semiHidden/>
    <w:rsid w:val="00106187"/>
    <w:rPr>
      <w:vertAlign w:val="superscript"/>
    </w:rPr>
  </w:style>
  <w:style w:type="paragraph" w:styleId="Stopka">
    <w:name w:val="footer"/>
    <w:basedOn w:val="Normalny"/>
    <w:link w:val="StopkaZnak"/>
    <w:uiPriority w:val="99"/>
    <w:rsid w:val="00106187"/>
    <w:pPr>
      <w:tabs>
        <w:tab w:val="center" w:pos="4320"/>
        <w:tab w:val="right" w:pos="8640"/>
      </w:tabs>
      <w:spacing w:after="0" w:line="240" w:lineRule="auto"/>
    </w:pPr>
    <w:rPr>
      <w:rFonts w:ascii="Calibri" w:eastAsia="Times New Roman" w:hAnsi="Calibri" w:cs="Times New Roman"/>
      <w:szCs w:val="24"/>
      <w:lang w:val="de-DE" w:eastAsia="de-DE"/>
    </w:rPr>
  </w:style>
  <w:style w:type="character" w:customStyle="1" w:styleId="StopkaZnak">
    <w:name w:val="Stopka Znak"/>
    <w:basedOn w:val="Domylnaczcionkaakapitu"/>
    <w:link w:val="Stopka"/>
    <w:uiPriority w:val="99"/>
    <w:rsid w:val="00106187"/>
    <w:rPr>
      <w:rFonts w:ascii="Calibri" w:eastAsia="Times New Roman" w:hAnsi="Calibri" w:cs="Times New Roman"/>
      <w:szCs w:val="24"/>
      <w:lang w:val="de-DE" w:eastAsia="de-DE"/>
    </w:rPr>
  </w:style>
  <w:style w:type="paragraph" w:styleId="Akapitzlist">
    <w:name w:val="List Paragraph"/>
    <w:basedOn w:val="Normalny"/>
    <w:link w:val="AkapitzlistZnak"/>
    <w:uiPriority w:val="34"/>
    <w:qFormat/>
    <w:rsid w:val="00106187"/>
    <w:pPr>
      <w:spacing w:after="0" w:line="240" w:lineRule="auto"/>
      <w:ind w:left="720"/>
      <w:contextualSpacing/>
    </w:pPr>
    <w:rPr>
      <w:rFonts w:ascii="Calibri" w:eastAsia="Times New Roman" w:hAnsi="Calibri" w:cs="Times New Roman"/>
      <w:szCs w:val="24"/>
      <w:lang w:val="de-DE" w:eastAsia="de-DE"/>
    </w:rPr>
  </w:style>
  <w:style w:type="character" w:customStyle="1" w:styleId="AkapitzlistZnak">
    <w:name w:val="Akapit z listą Znak"/>
    <w:basedOn w:val="Domylnaczcionkaakapitu"/>
    <w:link w:val="Akapitzlist"/>
    <w:uiPriority w:val="34"/>
    <w:rsid w:val="00106187"/>
    <w:rPr>
      <w:rFonts w:ascii="Calibri" w:eastAsia="Times New Roman" w:hAnsi="Calibri" w:cs="Times New Roman"/>
      <w:szCs w:val="24"/>
      <w:lang w:val="de-DE" w:eastAsia="de-DE"/>
    </w:rPr>
  </w:style>
  <w:style w:type="paragraph" w:customStyle="1" w:styleId="GrECoAufzhlung">
    <w:name w:val="GrECo Aufzählung"/>
    <w:basedOn w:val="Akapitzlist"/>
    <w:link w:val="GrECoAufzhlungZchn"/>
    <w:qFormat/>
    <w:rsid w:val="003473C5"/>
    <w:pPr>
      <w:numPr>
        <w:numId w:val="1"/>
      </w:numPr>
      <w:tabs>
        <w:tab w:val="left" w:pos="1077"/>
      </w:tabs>
    </w:pPr>
    <w:rPr>
      <w:color w:val="000000"/>
    </w:rPr>
  </w:style>
  <w:style w:type="character" w:customStyle="1" w:styleId="GrECoAufzhlungZchn">
    <w:name w:val="GrECo Aufzählung Zchn"/>
    <w:basedOn w:val="AkapitzlistZnak"/>
    <w:link w:val="GrECoAufzhlung"/>
    <w:rsid w:val="00106187"/>
    <w:rPr>
      <w:rFonts w:ascii="Calibri" w:eastAsia="Times New Roman" w:hAnsi="Calibri" w:cs="Times New Roman"/>
      <w:color w:val="000000"/>
      <w:szCs w:val="24"/>
      <w:lang w:val="de-DE" w:eastAsia="de-DE"/>
    </w:rPr>
  </w:style>
  <w:style w:type="paragraph" w:styleId="HTML-wstpniesformatowany">
    <w:name w:val="HTML Preformatted"/>
    <w:basedOn w:val="Normalny"/>
    <w:link w:val="HTML-wstpniesformatowanyZnak"/>
    <w:semiHidden/>
    <w:rsid w:val="0010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de-AT" w:eastAsia="de-DE"/>
    </w:rPr>
  </w:style>
  <w:style w:type="character" w:customStyle="1" w:styleId="HTML-wstpniesformatowanyZnak">
    <w:name w:val="HTML - wstępnie sformatowany Znak"/>
    <w:basedOn w:val="Domylnaczcionkaakapitu"/>
    <w:link w:val="HTML-wstpniesformatowany"/>
    <w:semiHidden/>
    <w:rsid w:val="00106187"/>
    <w:rPr>
      <w:rFonts w:ascii="Arial Unicode MS" w:eastAsia="Arial Unicode MS" w:hAnsi="Arial Unicode MS" w:cs="Arial Unicode MS"/>
      <w:color w:val="000000"/>
      <w:sz w:val="20"/>
      <w:szCs w:val="20"/>
      <w:lang w:eastAsia="de-DE"/>
    </w:rPr>
  </w:style>
  <w:style w:type="paragraph" w:styleId="Nagwek">
    <w:name w:val="header"/>
    <w:basedOn w:val="Normalny"/>
    <w:link w:val="NagwekZnak"/>
    <w:uiPriority w:val="99"/>
    <w:rsid w:val="00106187"/>
    <w:pPr>
      <w:tabs>
        <w:tab w:val="center" w:pos="4320"/>
        <w:tab w:val="right" w:pos="8640"/>
      </w:tabs>
      <w:spacing w:after="0" w:line="240" w:lineRule="auto"/>
    </w:pPr>
    <w:rPr>
      <w:rFonts w:ascii="Calibri" w:eastAsia="Times New Roman" w:hAnsi="Calibri" w:cs="Times New Roman"/>
      <w:szCs w:val="24"/>
      <w:lang w:val="de-DE" w:eastAsia="de-DE"/>
    </w:rPr>
  </w:style>
  <w:style w:type="character" w:customStyle="1" w:styleId="NagwekZnak">
    <w:name w:val="Nagłówek Znak"/>
    <w:basedOn w:val="Domylnaczcionkaakapitu"/>
    <w:link w:val="Nagwek"/>
    <w:semiHidden/>
    <w:rsid w:val="00106187"/>
    <w:rPr>
      <w:rFonts w:ascii="Calibri" w:eastAsia="Times New Roman" w:hAnsi="Calibri" w:cs="Times New Roman"/>
      <w:szCs w:val="24"/>
      <w:lang w:val="de-DE" w:eastAsia="de-DE"/>
    </w:rPr>
  </w:style>
  <w:style w:type="character" w:styleId="Numerstrony">
    <w:name w:val="page number"/>
    <w:basedOn w:val="Domylnaczcionkaakapitu"/>
    <w:semiHidden/>
    <w:rsid w:val="00106187"/>
  </w:style>
  <w:style w:type="paragraph" w:styleId="Tekstdymka">
    <w:name w:val="Balloon Text"/>
    <w:basedOn w:val="Normalny"/>
    <w:link w:val="TekstdymkaZnak"/>
    <w:uiPriority w:val="99"/>
    <w:semiHidden/>
    <w:unhideWhenUsed/>
    <w:rsid w:val="00106187"/>
    <w:pPr>
      <w:spacing w:after="0" w:line="240" w:lineRule="auto"/>
    </w:pPr>
    <w:rPr>
      <w:rFonts w:ascii="Tahoma" w:eastAsia="Times New Roman" w:hAnsi="Tahoma" w:cs="Tahoma"/>
      <w:sz w:val="16"/>
      <w:szCs w:val="16"/>
      <w:lang w:val="de-DE" w:eastAsia="de-DE"/>
    </w:rPr>
  </w:style>
  <w:style w:type="character" w:customStyle="1" w:styleId="TekstdymkaZnak">
    <w:name w:val="Tekst dymka Znak"/>
    <w:basedOn w:val="Domylnaczcionkaakapitu"/>
    <w:link w:val="Tekstdymka"/>
    <w:uiPriority w:val="99"/>
    <w:semiHidden/>
    <w:rsid w:val="00106187"/>
    <w:rPr>
      <w:rFonts w:ascii="Tahoma" w:eastAsia="Times New Roman" w:hAnsi="Tahoma" w:cs="Tahoma"/>
      <w:sz w:val="16"/>
      <w:szCs w:val="16"/>
      <w:lang w:val="de-DE" w:eastAsia="de-DE"/>
    </w:rPr>
  </w:style>
  <w:style w:type="paragraph" w:styleId="Tekstpodstawowywcity2">
    <w:name w:val="Body Text Indent 2"/>
    <w:basedOn w:val="Normalny"/>
    <w:link w:val="Tekstpodstawowywcity2Znak"/>
    <w:semiHidden/>
    <w:rsid w:val="00106187"/>
    <w:pPr>
      <w:spacing w:after="0" w:line="240" w:lineRule="auto"/>
      <w:ind w:left="720"/>
      <w:jc w:val="both"/>
    </w:pPr>
    <w:rPr>
      <w:rFonts w:ascii="Calibri" w:eastAsia="Times New Roman" w:hAnsi="Calibri" w:cs="Times New Roman"/>
      <w:szCs w:val="18"/>
      <w:lang w:val="de-AT" w:eastAsia="de-DE"/>
    </w:rPr>
  </w:style>
  <w:style w:type="character" w:customStyle="1" w:styleId="Tekstpodstawowywcity2Znak">
    <w:name w:val="Tekst podstawowy wcięty 2 Znak"/>
    <w:basedOn w:val="Domylnaczcionkaakapitu"/>
    <w:link w:val="Tekstpodstawowywcity2"/>
    <w:semiHidden/>
    <w:rsid w:val="00106187"/>
    <w:rPr>
      <w:rFonts w:ascii="Calibri" w:eastAsia="Times New Roman" w:hAnsi="Calibri" w:cs="Times New Roman"/>
      <w:szCs w:val="18"/>
      <w:lang w:eastAsia="de-DE"/>
    </w:rPr>
  </w:style>
  <w:style w:type="paragraph" w:styleId="Tekstpodstawowywcity">
    <w:name w:val="Body Text Indent"/>
    <w:basedOn w:val="Normalny"/>
    <w:link w:val="TekstpodstawowywcityZnak"/>
    <w:semiHidden/>
    <w:rsid w:val="00106187"/>
    <w:pPr>
      <w:spacing w:after="0" w:line="240" w:lineRule="auto"/>
      <w:ind w:left="360"/>
      <w:jc w:val="both"/>
    </w:pPr>
    <w:rPr>
      <w:rFonts w:ascii="Calibri" w:eastAsia="Times New Roman" w:hAnsi="Calibri" w:cs="Times New Roman"/>
      <w:szCs w:val="18"/>
      <w:lang w:val="de-AT" w:eastAsia="de-DE"/>
    </w:rPr>
  </w:style>
  <w:style w:type="character" w:customStyle="1" w:styleId="TekstpodstawowywcityZnak">
    <w:name w:val="Tekst podstawowy wcięty Znak"/>
    <w:basedOn w:val="Domylnaczcionkaakapitu"/>
    <w:link w:val="Tekstpodstawowywcity"/>
    <w:semiHidden/>
    <w:rsid w:val="00106187"/>
    <w:rPr>
      <w:rFonts w:ascii="Calibri" w:eastAsia="Times New Roman" w:hAnsi="Calibri" w:cs="Times New Roman"/>
      <w:szCs w:val="18"/>
      <w:lang w:eastAsia="de-DE"/>
    </w:rPr>
  </w:style>
  <w:style w:type="character" w:customStyle="1" w:styleId="Nagwek1Znak">
    <w:name w:val="Nagłówek 1 Znak"/>
    <w:aliases w:val="GrECo Überschrift 1 Znak"/>
    <w:basedOn w:val="Domylnaczcionkaakapitu"/>
    <w:link w:val="Nagwek1"/>
    <w:rsid w:val="00106187"/>
    <w:rPr>
      <w:rFonts w:ascii="Calibri" w:eastAsia="Arial Unicode MS" w:hAnsi="Calibri" w:cs="Times New Roman"/>
      <w:bCs/>
      <w:color w:val="005AA1"/>
      <w:sz w:val="32"/>
      <w:szCs w:val="24"/>
      <w:lang w:eastAsia="de-DE"/>
    </w:rPr>
  </w:style>
  <w:style w:type="character" w:customStyle="1" w:styleId="Nagwek2Znak">
    <w:name w:val="Nagłówek 2 Znak"/>
    <w:aliases w:val="GrECo Überschrift 2 Znak"/>
    <w:basedOn w:val="Domylnaczcionkaakapitu"/>
    <w:link w:val="Nagwek2"/>
    <w:rsid w:val="00106187"/>
    <w:rPr>
      <w:rFonts w:ascii="Calibri" w:eastAsia="Times New Roman" w:hAnsi="Calibri" w:cs="Times New Roman"/>
      <w:bCs/>
      <w:color w:val="005AA1" w:themeColor="text2"/>
      <w:sz w:val="26"/>
      <w:szCs w:val="24"/>
      <w:lang w:eastAsia="de-DE"/>
    </w:rPr>
  </w:style>
  <w:style w:type="character" w:customStyle="1" w:styleId="Nagwek3Znak">
    <w:name w:val="Nagłówek 3 Znak"/>
    <w:basedOn w:val="Domylnaczcionkaakapitu"/>
    <w:link w:val="Nagwek3"/>
    <w:uiPriority w:val="9"/>
    <w:rsid w:val="00106187"/>
    <w:rPr>
      <w:rFonts w:ascii="Calibri" w:eastAsiaTheme="majorEastAsia" w:hAnsi="Calibri" w:cstheme="majorBidi"/>
      <w:b/>
      <w:bCs/>
      <w:szCs w:val="24"/>
      <w:lang w:val="de-DE" w:eastAsia="de-DE"/>
    </w:rPr>
  </w:style>
  <w:style w:type="paragraph" w:styleId="Spistreci1">
    <w:name w:val="toc 1"/>
    <w:basedOn w:val="Normalny"/>
    <w:next w:val="Normalny"/>
    <w:autoRedefine/>
    <w:uiPriority w:val="39"/>
    <w:unhideWhenUsed/>
    <w:rsid w:val="00106187"/>
    <w:pPr>
      <w:tabs>
        <w:tab w:val="left" w:pos="440"/>
        <w:tab w:val="right" w:leader="dot" w:pos="10195"/>
      </w:tabs>
      <w:spacing w:after="100" w:line="240" w:lineRule="auto"/>
    </w:pPr>
    <w:rPr>
      <w:rFonts w:ascii="Calibri" w:eastAsia="Times New Roman" w:hAnsi="Calibri" w:cs="Times New Roman"/>
      <w:szCs w:val="24"/>
      <w:lang w:val="de-DE" w:eastAsia="de-DE"/>
    </w:rPr>
  </w:style>
  <w:style w:type="paragraph" w:styleId="Spistreci2">
    <w:name w:val="toc 2"/>
    <w:basedOn w:val="Normalny"/>
    <w:next w:val="Normalny"/>
    <w:autoRedefine/>
    <w:uiPriority w:val="39"/>
    <w:unhideWhenUsed/>
    <w:rsid w:val="00106187"/>
    <w:pPr>
      <w:tabs>
        <w:tab w:val="left" w:pos="993"/>
        <w:tab w:val="right" w:leader="dot" w:pos="10195"/>
      </w:tabs>
      <w:spacing w:after="100" w:line="240" w:lineRule="auto"/>
    </w:pPr>
    <w:rPr>
      <w:rFonts w:ascii="Calibri" w:eastAsia="Times New Roman" w:hAnsi="Calibri" w:cs="Times New Roman"/>
      <w:szCs w:val="24"/>
      <w:lang w:val="de-DE" w:eastAsia="de-DE"/>
    </w:rPr>
  </w:style>
  <w:style w:type="paragraph" w:styleId="Spistreci3">
    <w:name w:val="toc 3"/>
    <w:basedOn w:val="Normalny"/>
    <w:next w:val="Normalny"/>
    <w:autoRedefine/>
    <w:uiPriority w:val="39"/>
    <w:unhideWhenUsed/>
    <w:rsid w:val="00106187"/>
    <w:pPr>
      <w:tabs>
        <w:tab w:val="left" w:pos="993"/>
        <w:tab w:val="right" w:leader="dot" w:pos="10195"/>
      </w:tabs>
      <w:spacing w:after="100" w:line="240" w:lineRule="auto"/>
    </w:pPr>
    <w:rPr>
      <w:rFonts w:ascii="Calibri" w:eastAsia="Times New Roman" w:hAnsi="Calibri" w:cs="Times New Roman"/>
      <w:szCs w:val="24"/>
      <w:lang w:val="de-DE" w:eastAsia="de-DE"/>
    </w:rPr>
  </w:style>
  <w:style w:type="character" w:customStyle="1" w:styleId="NagwekZnak1">
    <w:name w:val="Nagłówek Znak1"/>
    <w:uiPriority w:val="99"/>
    <w:locked/>
    <w:rsid w:val="00840555"/>
    <w:rPr>
      <w:rFonts w:ascii="Calibri" w:eastAsia="Calibri" w:hAnsi="Calibri" w:cs="Times New Roman"/>
    </w:rPr>
  </w:style>
  <w:style w:type="paragraph" w:styleId="Tekstpodstawowy">
    <w:name w:val="Body Text"/>
    <w:basedOn w:val="Normalny"/>
    <w:link w:val="TekstpodstawowyZnak"/>
    <w:uiPriority w:val="99"/>
    <w:unhideWhenUsed/>
    <w:rsid w:val="00840555"/>
    <w:pPr>
      <w:spacing w:after="120" w:line="260" w:lineRule="exact"/>
    </w:pPr>
    <w:rPr>
      <w:rFonts w:ascii="Tahoma" w:eastAsia="Calibri" w:hAnsi="Tahoma" w:cs="Times New Roman"/>
      <w:color w:val="1E1E1E"/>
      <w:spacing w:val="4"/>
      <w:sz w:val="18"/>
    </w:rPr>
  </w:style>
  <w:style w:type="character" w:customStyle="1" w:styleId="TekstpodstawowyZnak">
    <w:name w:val="Tekst podstawowy Znak"/>
    <w:basedOn w:val="Domylnaczcionkaakapitu"/>
    <w:link w:val="Tekstpodstawowy"/>
    <w:uiPriority w:val="99"/>
    <w:rsid w:val="00840555"/>
    <w:rPr>
      <w:rFonts w:ascii="Tahoma" w:eastAsia="Calibri" w:hAnsi="Tahoma" w:cs="Times New Roman"/>
      <w:color w:val="1E1E1E"/>
      <w:spacing w:val="4"/>
      <w:sz w:val="18"/>
      <w:lang w:val="pl-PL"/>
    </w:rPr>
  </w:style>
  <w:style w:type="character" w:styleId="Odwoaniedokomentarza">
    <w:name w:val="annotation reference"/>
    <w:basedOn w:val="Domylnaczcionkaakapitu"/>
    <w:uiPriority w:val="99"/>
    <w:semiHidden/>
    <w:unhideWhenUsed/>
    <w:rsid w:val="00185F32"/>
    <w:rPr>
      <w:sz w:val="16"/>
      <w:szCs w:val="16"/>
    </w:rPr>
  </w:style>
  <w:style w:type="paragraph" w:styleId="Tekstkomentarza">
    <w:name w:val="annotation text"/>
    <w:basedOn w:val="Normalny"/>
    <w:link w:val="TekstkomentarzaZnak"/>
    <w:uiPriority w:val="99"/>
    <w:semiHidden/>
    <w:unhideWhenUsed/>
    <w:rsid w:val="00185F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5F32"/>
    <w:rPr>
      <w:rFonts w:eastAsiaTheme="minorHAnsi"/>
      <w:sz w:val="20"/>
      <w:szCs w:val="20"/>
      <w:lang w:val="pl-PL"/>
    </w:rPr>
  </w:style>
  <w:style w:type="paragraph" w:styleId="Tematkomentarza">
    <w:name w:val="annotation subject"/>
    <w:basedOn w:val="Tekstkomentarza"/>
    <w:next w:val="Tekstkomentarza"/>
    <w:link w:val="TematkomentarzaZnak"/>
    <w:uiPriority w:val="99"/>
    <w:semiHidden/>
    <w:unhideWhenUsed/>
    <w:rsid w:val="00185F32"/>
    <w:rPr>
      <w:b/>
      <w:bCs/>
    </w:rPr>
  </w:style>
  <w:style w:type="character" w:customStyle="1" w:styleId="TematkomentarzaZnak">
    <w:name w:val="Temat komentarza Znak"/>
    <w:basedOn w:val="TekstkomentarzaZnak"/>
    <w:link w:val="Tematkomentarza"/>
    <w:uiPriority w:val="99"/>
    <w:semiHidden/>
    <w:rsid w:val="00185F32"/>
    <w:rPr>
      <w:rFonts w:eastAsiaTheme="minorHAnsi"/>
      <w:b/>
      <w:bCs/>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GrECo Standard"/>
    <w:qFormat/>
    <w:rsid w:val="00820612"/>
    <w:rPr>
      <w:rFonts w:eastAsiaTheme="minorHAnsi"/>
      <w:lang w:val="pl-PL"/>
    </w:rPr>
  </w:style>
  <w:style w:type="paragraph" w:styleId="Nagwek1">
    <w:name w:val="heading 1"/>
    <w:aliases w:val="GrECo Überschrift 1"/>
    <w:basedOn w:val="Normalny"/>
    <w:next w:val="Normalny"/>
    <w:link w:val="Nagwek1Znak"/>
    <w:qFormat/>
    <w:rsid w:val="00106187"/>
    <w:pPr>
      <w:keepNext/>
      <w:numPr>
        <w:numId w:val="2"/>
      </w:numPr>
      <w:spacing w:after="120" w:line="240" w:lineRule="auto"/>
      <w:outlineLvl w:val="0"/>
    </w:pPr>
    <w:rPr>
      <w:rFonts w:ascii="Calibri" w:eastAsia="Arial Unicode MS" w:hAnsi="Calibri" w:cs="Times New Roman"/>
      <w:bCs/>
      <w:color w:val="005AA1"/>
      <w:sz w:val="32"/>
      <w:szCs w:val="24"/>
      <w:lang w:val="de-AT" w:eastAsia="de-DE"/>
    </w:rPr>
  </w:style>
  <w:style w:type="paragraph" w:styleId="Nagwek2">
    <w:name w:val="heading 2"/>
    <w:aliases w:val="GrECo Überschrift 2"/>
    <w:basedOn w:val="Normalny"/>
    <w:next w:val="Normalny"/>
    <w:link w:val="Nagwek2Znak"/>
    <w:qFormat/>
    <w:rsid w:val="00106187"/>
    <w:pPr>
      <w:keepNext/>
      <w:numPr>
        <w:numId w:val="3"/>
      </w:numPr>
      <w:spacing w:after="120" w:line="240" w:lineRule="auto"/>
      <w:outlineLvl w:val="1"/>
    </w:pPr>
    <w:rPr>
      <w:rFonts w:ascii="Calibri" w:eastAsia="Times New Roman" w:hAnsi="Calibri" w:cs="Times New Roman"/>
      <w:bCs/>
      <w:color w:val="005AA1" w:themeColor="text2"/>
      <w:sz w:val="26"/>
      <w:szCs w:val="24"/>
      <w:lang w:val="de-AT" w:eastAsia="de-DE"/>
    </w:rPr>
  </w:style>
  <w:style w:type="paragraph" w:styleId="Nagwek3">
    <w:name w:val="heading 3"/>
    <w:basedOn w:val="Normalny"/>
    <w:next w:val="Normalny"/>
    <w:link w:val="Nagwek3Znak"/>
    <w:uiPriority w:val="9"/>
    <w:unhideWhenUsed/>
    <w:qFormat/>
    <w:rsid w:val="00106187"/>
    <w:pPr>
      <w:keepNext/>
      <w:keepLines/>
      <w:numPr>
        <w:numId w:val="4"/>
      </w:numPr>
      <w:spacing w:after="120" w:line="240" w:lineRule="auto"/>
      <w:outlineLvl w:val="2"/>
    </w:pPr>
    <w:rPr>
      <w:rFonts w:ascii="Calibri" w:eastAsiaTheme="majorEastAsia" w:hAnsi="Calibri" w:cstheme="majorBidi"/>
      <w:b/>
      <w:bCs/>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
    <w:name w:val="abs"/>
    <w:basedOn w:val="Normalny"/>
    <w:rsid w:val="00106187"/>
    <w:pPr>
      <w:spacing w:before="80" w:line="288" w:lineRule="auto"/>
      <w:ind w:firstLine="397"/>
    </w:pPr>
    <w:rPr>
      <w:color w:val="000000"/>
      <w:sz w:val="20"/>
      <w:szCs w:val="20"/>
      <w:lang w:val="de-AT" w:eastAsia="de-AT"/>
    </w:rPr>
  </w:style>
  <w:style w:type="paragraph" w:styleId="Mapadokumentu">
    <w:name w:val="Document Map"/>
    <w:basedOn w:val="Normalny"/>
    <w:link w:val="MapadokumentuZnak"/>
    <w:uiPriority w:val="99"/>
    <w:semiHidden/>
    <w:unhideWhenUsed/>
    <w:rsid w:val="00106187"/>
    <w:pPr>
      <w:spacing w:after="0" w:line="240" w:lineRule="auto"/>
    </w:pPr>
    <w:rPr>
      <w:rFonts w:ascii="Tahoma" w:eastAsia="Times New Roman" w:hAnsi="Tahoma" w:cs="Tahoma"/>
      <w:sz w:val="16"/>
      <w:szCs w:val="16"/>
      <w:lang w:val="de-DE" w:eastAsia="de-DE"/>
    </w:rPr>
  </w:style>
  <w:style w:type="character" w:customStyle="1" w:styleId="MapadokumentuZnak">
    <w:name w:val="Mapa dokumentu Znak"/>
    <w:basedOn w:val="Domylnaczcionkaakapitu"/>
    <w:link w:val="Mapadokumentu"/>
    <w:uiPriority w:val="99"/>
    <w:semiHidden/>
    <w:rsid w:val="00106187"/>
    <w:rPr>
      <w:rFonts w:ascii="Tahoma" w:eastAsia="Times New Roman" w:hAnsi="Tahoma" w:cs="Tahoma"/>
      <w:sz w:val="16"/>
      <w:szCs w:val="16"/>
      <w:lang w:val="de-DE" w:eastAsia="de-DE"/>
    </w:rPr>
  </w:style>
  <w:style w:type="paragraph" w:styleId="Tekstprzypisudolnego">
    <w:name w:val="footnote text"/>
    <w:basedOn w:val="Normalny"/>
    <w:link w:val="TekstprzypisudolnegoZnak"/>
    <w:semiHidden/>
    <w:rsid w:val="00106187"/>
    <w:pPr>
      <w:spacing w:after="0" w:line="240" w:lineRule="auto"/>
    </w:pPr>
    <w:rPr>
      <w:rFonts w:ascii="Calibri" w:eastAsia="Times New Roman" w:hAnsi="Calibri" w:cs="Times New Roman"/>
      <w:sz w:val="20"/>
      <w:szCs w:val="20"/>
      <w:lang w:val="de-DE" w:eastAsia="de-DE"/>
    </w:rPr>
  </w:style>
  <w:style w:type="character" w:customStyle="1" w:styleId="TekstprzypisudolnegoZnak">
    <w:name w:val="Tekst przypisu dolnego Znak"/>
    <w:basedOn w:val="Domylnaczcionkaakapitu"/>
    <w:link w:val="Tekstprzypisudolnego"/>
    <w:semiHidden/>
    <w:rsid w:val="00106187"/>
    <w:rPr>
      <w:rFonts w:ascii="Calibri" w:eastAsia="Times New Roman" w:hAnsi="Calibri" w:cs="Times New Roman"/>
      <w:sz w:val="20"/>
      <w:szCs w:val="20"/>
      <w:lang w:val="de-DE" w:eastAsia="de-DE"/>
    </w:rPr>
  </w:style>
  <w:style w:type="character" w:styleId="Odwoanieprzypisudolnego">
    <w:name w:val="footnote reference"/>
    <w:basedOn w:val="Domylnaczcionkaakapitu"/>
    <w:semiHidden/>
    <w:rsid w:val="00106187"/>
    <w:rPr>
      <w:vertAlign w:val="superscript"/>
    </w:rPr>
  </w:style>
  <w:style w:type="paragraph" w:styleId="Stopka">
    <w:name w:val="footer"/>
    <w:basedOn w:val="Normalny"/>
    <w:link w:val="StopkaZnak"/>
    <w:uiPriority w:val="99"/>
    <w:rsid w:val="00106187"/>
    <w:pPr>
      <w:tabs>
        <w:tab w:val="center" w:pos="4320"/>
        <w:tab w:val="right" w:pos="8640"/>
      </w:tabs>
      <w:spacing w:after="0" w:line="240" w:lineRule="auto"/>
    </w:pPr>
    <w:rPr>
      <w:rFonts w:ascii="Calibri" w:eastAsia="Times New Roman" w:hAnsi="Calibri" w:cs="Times New Roman"/>
      <w:szCs w:val="24"/>
      <w:lang w:val="de-DE" w:eastAsia="de-DE"/>
    </w:rPr>
  </w:style>
  <w:style w:type="character" w:customStyle="1" w:styleId="StopkaZnak">
    <w:name w:val="Stopka Znak"/>
    <w:basedOn w:val="Domylnaczcionkaakapitu"/>
    <w:link w:val="Stopka"/>
    <w:uiPriority w:val="99"/>
    <w:rsid w:val="00106187"/>
    <w:rPr>
      <w:rFonts w:ascii="Calibri" w:eastAsia="Times New Roman" w:hAnsi="Calibri" w:cs="Times New Roman"/>
      <w:szCs w:val="24"/>
      <w:lang w:val="de-DE" w:eastAsia="de-DE"/>
    </w:rPr>
  </w:style>
  <w:style w:type="paragraph" w:styleId="Akapitzlist">
    <w:name w:val="List Paragraph"/>
    <w:basedOn w:val="Normalny"/>
    <w:link w:val="AkapitzlistZnak"/>
    <w:uiPriority w:val="34"/>
    <w:qFormat/>
    <w:rsid w:val="00106187"/>
    <w:pPr>
      <w:spacing w:after="0" w:line="240" w:lineRule="auto"/>
      <w:ind w:left="720"/>
      <w:contextualSpacing/>
    </w:pPr>
    <w:rPr>
      <w:rFonts w:ascii="Calibri" w:eastAsia="Times New Roman" w:hAnsi="Calibri" w:cs="Times New Roman"/>
      <w:szCs w:val="24"/>
      <w:lang w:val="de-DE" w:eastAsia="de-DE"/>
    </w:rPr>
  </w:style>
  <w:style w:type="character" w:customStyle="1" w:styleId="AkapitzlistZnak">
    <w:name w:val="Akapit z listą Znak"/>
    <w:basedOn w:val="Domylnaczcionkaakapitu"/>
    <w:link w:val="Akapitzlist"/>
    <w:uiPriority w:val="34"/>
    <w:rsid w:val="00106187"/>
    <w:rPr>
      <w:rFonts w:ascii="Calibri" w:eastAsia="Times New Roman" w:hAnsi="Calibri" w:cs="Times New Roman"/>
      <w:szCs w:val="24"/>
      <w:lang w:val="de-DE" w:eastAsia="de-DE"/>
    </w:rPr>
  </w:style>
  <w:style w:type="paragraph" w:customStyle="1" w:styleId="GrECoAufzhlung">
    <w:name w:val="GrECo Aufzählung"/>
    <w:basedOn w:val="Akapitzlist"/>
    <w:link w:val="GrECoAufzhlungZchn"/>
    <w:qFormat/>
    <w:rsid w:val="003473C5"/>
    <w:pPr>
      <w:numPr>
        <w:numId w:val="1"/>
      </w:numPr>
      <w:tabs>
        <w:tab w:val="left" w:pos="1077"/>
      </w:tabs>
    </w:pPr>
    <w:rPr>
      <w:color w:val="000000"/>
    </w:rPr>
  </w:style>
  <w:style w:type="character" w:customStyle="1" w:styleId="GrECoAufzhlungZchn">
    <w:name w:val="GrECo Aufzählung Zchn"/>
    <w:basedOn w:val="AkapitzlistZnak"/>
    <w:link w:val="GrECoAufzhlung"/>
    <w:rsid w:val="00106187"/>
    <w:rPr>
      <w:rFonts w:ascii="Calibri" w:eastAsia="Times New Roman" w:hAnsi="Calibri" w:cs="Times New Roman"/>
      <w:color w:val="000000"/>
      <w:szCs w:val="24"/>
      <w:lang w:val="de-DE" w:eastAsia="de-DE"/>
    </w:rPr>
  </w:style>
  <w:style w:type="paragraph" w:styleId="HTML-wstpniesformatowany">
    <w:name w:val="HTML Preformatted"/>
    <w:basedOn w:val="Normalny"/>
    <w:link w:val="HTML-wstpniesformatowanyZnak"/>
    <w:semiHidden/>
    <w:rsid w:val="0010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de-AT" w:eastAsia="de-DE"/>
    </w:rPr>
  </w:style>
  <w:style w:type="character" w:customStyle="1" w:styleId="HTML-wstpniesformatowanyZnak">
    <w:name w:val="HTML - wstępnie sformatowany Znak"/>
    <w:basedOn w:val="Domylnaczcionkaakapitu"/>
    <w:link w:val="HTML-wstpniesformatowany"/>
    <w:semiHidden/>
    <w:rsid w:val="00106187"/>
    <w:rPr>
      <w:rFonts w:ascii="Arial Unicode MS" w:eastAsia="Arial Unicode MS" w:hAnsi="Arial Unicode MS" w:cs="Arial Unicode MS"/>
      <w:color w:val="000000"/>
      <w:sz w:val="20"/>
      <w:szCs w:val="20"/>
      <w:lang w:eastAsia="de-DE"/>
    </w:rPr>
  </w:style>
  <w:style w:type="paragraph" w:styleId="Nagwek">
    <w:name w:val="header"/>
    <w:basedOn w:val="Normalny"/>
    <w:link w:val="NagwekZnak"/>
    <w:uiPriority w:val="99"/>
    <w:rsid w:val="00106187"/>
    <w:pPr>
      <w:tabs>
        <w:tab w:val="center" w:pos="4320"/>
        <w:tab w:val="right" w:pos="8640"/>
      </w:tabs>
      <w:spacing w:after="0" w:line="240" w:lineRule="auto"/>
    </w:pPr>
    <w:rPr>
      <w:rFonts w:ascii="Calibri" w:eastAsia="Times New Roman" w:hAnsi="Calibri" w:cs="Times New Roman"/>
      <w:szCs w:val="24"/>
      <w:lang w:val="de-DE" w:eastAsia="de-DE"/>
    </w:rPr>
  </w:style>
  <w:style w:type="character" w:customStyle="1" w:styleId="NagwekZnak">
    <w:name w:val="Nagłówek Znak"/>
    <w:basedOn w:val="Domylnaczcionkaakapitu"/>
    <w:link w:val="Nagwek"/>
    <w:semiHidden/>
    <w:rsid w:val="00106187"/>
    <w:rPr>
      <w:rFonts w:ascii="Calibri" w:eastAsia="Times New Roman" w:hAnsi="Calibri" w:cs="Times New Roman"/>
      <w:szCs w:val="24"/>
      <w:lang w:val="de-DE" w:eastAsia="de-DE"/>
    </w:rPr>
  </w:style>
  <w:style w:type="character" w:styleId="Numerstrony">
    <w:name w:val="page number"/>
    <w:basedOn w:val="Domylnaczcionkaakapitu"/>
    <w:semiHidden/>
    <w:rsid w:val="00106187"/>
  </w:style>
  <w:style w:type="paragraph" w:styleId="Tekstdymka">
    <w:name w:val="Balloon Text"/>
    <w:basedOn w:val="Normalny"/>
    <w:link w:val="TekstdymkaZnak"/>
    <w:uiPriority w:val="99"/>
    <w:semiHidden/>
    <w:unhideWhenUsed/>
    <w:rsid w:val="00106187"/>
    <w:pPr>
      <w:spacing w:after="0" w:line="240" w:lineRule="auto"/>
    </w:pPr>
    <w:rPr>
      <w:rFonts w:ascii="Tahoma" w:eastAsia="Times New Roman" w:hAnsi="Tahoma" w:cs="Tahoma"/>
      <w:sz w:val="16"/>
      <w:szCs w:val="16"/>
      <w:lang w:val="de-DE" w:eastAsia="de-DE"/>
    </w:rPr>
  </w:style>
  <w:style w:type="character" w:customStyle="1" w:styleId="TekstdymkaZnak">
    <w:name w:val="Tekst dymka Znak"/>
    <w:basedOn w:val="Domylnaczcionkaakapitu"/>
    <w:link w:val="Tekstdymka"/>
    <w:uiPriority w:val="99"/>
    <w:semiHidden/>
    <w:rsid w:val="00106187"/>
    <w:rPr>
      <w:rFonts w:ascii="Tahoma" w:eastAsia="Times New Roman" w:hAnsi="Tahoma" w:cs="Tahoma"/>
      <w:sz w:val="16"/>
      <w:szCs w:val="16"/>
      <w:lang w:val="de-DE" w:eastAsia="de-DE"/>
    </w:rPr>
  </w:style>
  <w:style w:type="paragraph" w:styleId="Tekstpodstawowywcity2">
    <w:name w:val="Body Text Indent 2"/>
    <w:basedOn w:val="Normalny"/>
    <w:link w:val="Tekstpodstawowywcity2Znak"/>
    <w:semiHidden/>
    <w:rsid w:val="00106187"/>
    <w:pPr>
      <w:spacing w:after="0" w:line="240" w:lineRule="auto"/>
      <w:ind w:left="720"/>
      <w:jc w:val="both"/>
    </w:pPr>
    <w:rPr>
      <w:rFonts w:ascii="Calibri" w:eastAsia="Times New Roman" w:hAnsi="Calibri" w:cs="Times New Roman"/>
      <w:szCs w:val="18"/>
      <w:lang w:val="de-AT" w:eastAsia="de-DE"/>
    </w:rPr>
  </w:style>
  <w:style w:type="character" w:customStyle="1" w:styleId="Tekstpodstawowywcity2Znak">
    <w:name w:val="Tekst podstawowy wcięty 2 Znak"/>
    <w:basedOn w:val="Domylnaczcionkaakapitu"/>
    <w:link w:val="Tekstpodstawowywcity2"/>
    <w:semiHidden/>
    <w:rsid w:val="00106187"/>
    <w:rPr>
      <w:rFonts w:ascii="Calibri" w:eastAsia="Times New Roman" w:hAnsi="Calibri" w:cs="Times New Roman"/>
      <w:szCs w:val="18"/>
      <w:lang w:eastAsia="de-DE"/>
    </w:rPr>
  </w:style>
  <w:style w:type="paragraph" w:styleId="Tekstpodstawowywcity">
    <w:name w:val="Body Text Indent"/>
    <w:basedOn w:val="Normalny"/>
    <w:link w:val="TekstpodstawowywcityZnak"/>
    <w:semiHidden/>
    <w:rsid w:val="00106187"/>
    <w:pPr>
      <w:spacing w:after="0" w:line="240" w:lineRule="auto"/>
      <w:ind w:left="360"/>
      <w:jc w:val="both"/>
    </w:pPr>
    <w:rPr>
      <w:rFonts w:ascii="Calibri" w:eastAsia="Times New Roman" w:hAnsi="Calibri" w:cs="Times New Roman"/>
      <w:szCs w:val="18"/>
      <w:lang w:val="de-AT" w:eastAsia="de-DE"/>
    </w:rPr>
  </w:style>
  <w:style w:type="character" w:customStyle="1" w:styleId="TekstpodstawowywcityZnak">
    <w:name w:val="Tekst podstawowy wcięty Znak"/>
    <w:basedOn w:val="Domylnaczcionkaakapitu"/>
    <w:link w:val="Tekstpodstawowywcity"/>
    <w:semiHidden/>
    <w:rsid w:val="00106187"/>
    <w:rPr>
      <w:rFonts w:ascii="Calibri" w:eastAsia="Times New Roman" w:hAnsi="Calibri" w:cs="Times New Roman"/>
      <w:szCs w:val="18"/>
      <w:lang w:eastAsia="de-DE"/>
    </w:rPr>
  </w:style>
  <w:style w:type="character" w:customStyle="1" w:styleId="Nagwek1Znak">
    <w:name w:val="Nagłówek 1 Znak"/>
    <w:aliases w:val="GrECo Überschrift 1 Znak"/>
    <w:basedOn w:val="Domylnaczcionkaakapitu"/>
    <w:link w:val="Nagwek1"/>
    <w:rsid w:val="00106187"/>
    <w:rPr>
      <w:rFonts w:ascii="Calibri" w:eastAsia="Arial Unicode MS" w:hAnsi="Calibri" w:cs="Times New Roman"/>
      <w:bCs/>
      <w:color w:val="005AA1"/>
      <w:sz w:val="32"/>
      <w:szCs w:val="24"/>
      <w:lang w:eastAsia="de-DE"/>
    </w:rPr>
  </w:style>
  <w:style w:type="character" w:customStyle="1" w:styleId="Nagwek2Znak">
    <w:name w:val="Nagłówek 2 Znak"/>
    <w:aliases w:val="GrECo Überschrift 2 Znak"/>
    <w:basedOn w:val="Domylnaczcionkaakapitu"/>
    <w:link w:val="Nagwek2"/>
    <w:rsid w:val="00106187"/>
    <w:rPr>
      <w:rFonts w:ascii="Calibri" w:eastAsia="Times New Roman" w:hAnsi="Calibri" w:cs="Times New Roman"/>
      <w:bCs/>
      <w:color w:val="005AA1" w:themeColor="text2"/>
      <w:sz w:val="26"/>
      <w:szCs w:val="24"/>
      <w:lang w:eastAsia="de-DE"/>
    </w:rPr>
  </w:style>
  <w:style w:type="character" w:customStyle="1" w:styleId="Nagwek3Znak">
    <w:name w:val="Nagłówek 3 Znak"/>
    <w:basedOn w:val="Domylnaczcionkaakapitu"/>
    <w:link w:val="Nagwek3"/>
    <w:uiPriority w:val="9"/>
    <w:rsid w:val="00106187"/>
    <w:rPr>
      <w:rFonts w:ascii="Calibri" w:eastAsiaTheme="majorEastAsia" w:hAnsi="Calibri" w:cstheme="majorBidi"/>
      <w:b/>
      <w:bCs/>
      <w:szCs w:val="24"/>
      <w:lang w:val="de-DE" w:eastAsia="de-DE"/>
    </w:rPr>
  </w:style>
  <w:style w:type="paragraph" w:styleId="Spistreci1">
    <w:name w:val="toc 1"/>
    <w:basedOn w:val="Normalny"/>
    <w:next w:val="Normalny"/>
    <w:autoRedefine/>
    <w:uiPriority w:val="39"/>
    <w:unhideWhenUsed/>
    <w:rsid w:val="00106187"/>
    <w:pPr>
      <w:tabs>
        <w:tab w:val="left" w:pos="440"/>
        <w:tab w:val="right" w:leader="dot" w:pos="10195"/>
      </w:tabs>
      <w:spacing w:after="100" w:line="240" w:lineRule="auto"/>
    </w:pPr>
    <w:rPr>
      <w:rFonts w:ascii="Calibri" w:eastAsia="Times New Roman" w:hAnsi="Calibri" w:cs="Times New Roman"/>
      <w:szCs w:val="24"/>
      <w:lang w:val="de-DE" w:eastAsia="de-DE"/>
    </w:rPr>
  </w:style>
  <w:style w:type="paragraph" w:styleId="Spistreci2">
    <w:name w:val="toc 2"/>
    <w:basedOn w:val="Normalny"/>
    <w:next w:val="Normalny"/>
    <w:autoRedefine/>
    <w:uiPriority w:val="39"/>
    <w:unhideWhenUsed/>
    <w:rsid w:val="00106187"/>
    <w:pPr>
      <w:tabs>
        <w:tab w:val="left" w:pos="993"/>
        <w:tab w:val="right" w:leader="dot" w:pos="10195"/>
      </w:tabs>
      <w:spacing w:after="100" w:line="240" w:lineRule="auto"/>
    </w:pPr>
    <w:rPr>
      <w:rFonts w:ascii="Calibri" w:eastAsia="Times New Roman" w:hAnsi="Calibri" w:cs="Times New Roman"/>
      <w:szCs w:val="24"/>
      <w:lang w:val="de-DE" w:eastAsia="de-DE"/>
    </w:rPr>
  </w:style>
  <w:style w:type="paragraph" w:styleId="Spistreci3">
    <w:name w:val="toc 3"/>
    <w:basedOn w:val="Normalny"/>
    <w:next w:val="Normalny"/>
    <w:autoRedefine/>
    <w:uiPriority w:val="39"/>
    <w:unhideWhenUsed/>
    <w:rsid w:val="00106187"/>
    <w:pPr>
      <w:tabs>
        <w:tab w:val="left" w:pos="993"/>
        <w:tab w:val="right" w:leader="dot" w:pos="10195"/>
      </w:tabs>
      <w:spacing w:after="100" w:line="240" w:lineRule="auto"/>
    </w:pPr>
    <w:rPr>
      <w:rFonts w:ascii="Calibri" w:eastAsia="Times New Roman" w:hAnsi="Calibri" w:cs="Times New Roman"/>
      <w:szCs w:val="24"/>
      <w:lang w:val="de-DE" w:eastAsia="de-DE"/>
    </w:rPr>
  </w:style>
  <w:style w:type="character" w:customStyle="1" w:styleId="NagwekZnak1">
    <w:name w:val="Nagłówek Znak1"/>
    <w:uiPriority w:val="99"/>
    <w:locked/>
    <w:rsid w:val="00840555"/>
    <w:rPr>
      <w:rFonts w:ascii="Calibri" w:eastAsia="Calibri" w:hAnsi="Calibri" w:cs="Times New Roman"/>
    </w:rPr>
  </w:style>
  <w:style w:type="paragraph" w:styleId="Tekstpodstawowy">
    <w:name w:val="Body Text"/>
    <w:basedOn w:val="Normalny"/>
    <w:link w:val="TekstpodstawowyZnak"/>
    <w:uiPriority w:val="99"/>
    <w:unhideWhenUsed/>
    <w:rsid w:val="00840555"/>
    <w:pPr>
      <w:spacing w:after="120" w:line="260" w:lineRule="exact"/>
    </w:pPr>
    <w:rPr>
      <w:rFonts w:ascii="Tahoma" w:eastAsia="Calibri" w:hAnsi="Tahoma" w:cs="Times New Roman"/>
      <w:color w:val="1E1E1E"/>
      <w:spacing w:val="4"/>
      <w:sz w:val="18"/>
    </w:rPr>
  </w:style>
  <w:style w:type="character" w:customStyle="1" w:styleId="TekstpodstawowyZnak">
    <w:name w:val="Tekst podstawowy Znak"/>
    <w:basedOn w:val="Domylnaczcionkaakapitu"/>
    <w:link w:val="Tekstpodstawowy"/>
    <w:uiPriority w:val="99"/>
    <w:rsid w:val="00840555"/>
    <w:rPr>
      <w:rFonts w:ascii="Tahoma" w:eastAsia="Calibri" w:hAnsi="Tahoma" w:cs="Times New Roman"/>
      <w:color w:val="1E1E1E"/>
      <w:spacing w:val="4"/>
      <w:sz w:val="18"/>
      <w:lang w:val="pl-PL"/>
    </w:rPr>
  </w:style>
  <w:style w:type="character" w:styleId="Odwoaniedokomentarza">
    <w:name w:val="annotation reference"/>
    <w:basedOn w:val="Domylnaczcionkaakapitu"/>
    <w:uiPriority w:val="99"/>
    <w:semiHidden/>
    <w:unhideWhenUsed/>
    <w:rsid w:val="00185F32"/>
    <w:rPr>
      <w:sz w:val="16"/>
      <w:szCs w:val="16"/>
    </w:rPr>
  </w:style>
  <w:style w:type="paragraph" w:styleId="Tekstkomentarza">
    <w:name w:val="annotation text"/>
    <w:basedOn w:val="Normalny"/>
    <w:link w:val="TekstkomentarzaZnak"/>
    <w:uiPriority w:val="99"/>
    <w:semiHidden/>
    <w:unhideWhenUsed/>
    <w:rsid w:val="00185F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5F32"/>
    <w:rPr>
      <w:rFonts w:eastAsiaTheme="minorHAnsi"/>
      <w:sz w:val="20"/>
      <w:szCs w:val="20"/>
      <w:lang w:val="pl-PL"/>
    </w:rPr>
  </w:style>
  <w:style w:type="paragraph" w:styleId="Tematkomentarza">
    <w:name w:val="annotation subject"/>
    <w:basedOn w:val="Tekstkomentarza"/>
    <w:next w:val="Tekstkomentarza"/>
    <w:link w:val="TematkomentarzaZnak"/>
    <w:uiPriority w:val="99"/>
    <w:semiHidden/>
    <w:unhideWhenUsed/>
    <w:rsid w:val="00185F32"/>
    <w:rPr>
      <w:b/>
      <w:bCs/>
    </w:rPr>
  </w:style>
  <w:style w:type="character" w:customStyle="1" w:styleId="TematkomentarzaZnak">
    <w:name w:val="Temat komentarza Znak"/>
    <w:basedOn w:val="TekstkomentarzaZnak"/>
    <w:link w:val="Tematkomentarza"/>
    <w:uiPriority w:val="99"/>
    <w:semiHidden/>
    <w:rsid w:val="00185F32"/>
    <w:rPr>
      <w:rFonts w:eastAsiaTheme="minorHAnsi"/>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rECo">
      <a:dk1>
        <a:sysClr val="windowText" lastClr="000000"/>
      </a:dk1>
      <a:lt1>
        <a:sysClr val="window" lastClr="FFFFFF"/>
      </a:lt1>
      <a:dk2>
        <a:srgbClr val="005AA1"/>
      </a:dk2>
      <a:lt2>
        <a:srgbClr val="FFFFFF"/>
      </a:lt2>
      <a:accent1>
        <a:srgbClr val="005AA1"/>
      </a:accent1>
      <a:accent2>
        <a:srgbClr val="B9E0FF"/>
      </a:accent2>
      <a:accent3>
        <a:srgbClr val="002D50"/>
      </a:accent3>
      <a:accent4>
        <a:srgbClr val="73C1FF"/>
      </a:accent4>
      <a:accent5>
        <a:srgbClr val="FD6A0A"/>
      </a:accent5>
      <a:accent6>
        <a:srgbClr val="FDC400"/>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6718</Words>
  <Characters>40312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GrECo International Holding AG</Company>
  <LinksUpToDate>false</LinksUpToDate>
  <CharactersWithSpaces>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Wiśniewski Marek - GrECo JLT PL</dc:creator>
  <cp:keywords/>
  <dc:description/>
  <cp:lastModifiedBy>Zamówienia publiczne</cp:lastModifiedBy>
  <cp:revision>49</cp:revision>
  <dcterms:created xsi:type="dcterms:W3CDTF">2022-04-19T19:51:00Z</dcterms:created>
  <dcterms:modified xsi:type="dcterms:W3CDTF">2022-05-06T06:00:00Z</dcterms:modified>
</cp:coreProperties>
</file>